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27111F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2377AFA" w:rsidR="00F92268" w:rsidRPr="00FF66BF" w:rsidRDefault="0027111F" w:rsidP="0027111F">
            <w:pPr>
              <w:pStyle w:val="RefTableData"/>
            </w:pPr>
            <w:r>
              <w:t>1930-A</w:t>
            </w:r>
          </w:p>
        </w:tc>
      </w:tr>
    </w:tbl>
    <w:p w14:paraId="74FBA5B4" w14:textId="77777777" w:rsidR="00051356" w:rsidRPr="0027111F" w:rsidRDefault="00051356" w:rsidP="0027111F">
      <w:pPr>
        <w:pStyle w:val="BodyText"/>
        <w:rPr>
          <w:b/>
          <w:bCs/>
          <w:sz w:val="16"/>
          <w:szCs w:val="16"/>
        </w:rPr>
        <w:sectPr w:rsidR="00051356" w:rsidRPr="0027111F" w:rsidSect="0027111F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6" w:gutter="0"/>
          <w:paperSrc w:first="15" w:other="15"/>
          <w:cols w:space="720"/>
          <w:titlePg/>
          <w:docGrid w:linePitch="299"/>
        </w:sectPr>
      </w:pPr>
    </w:p>
    <w:p w14:paraId="0D506EB2" w14:textId="3762F7F4" w:rsidR="00635286" w:rsidRPr="00B9678D" w:rsidRDefault="00D60DD7" w:rsidP="00AB7E6E">
      <w:pPr>
        <w:pStyle w:val="Heading1"/>
      </w:pPr>
      <w:r>
        <w:t>Specialty Guideline Management</w:t>
      </w:r>
      <w:r w:rsidR="00AB7E6E">
        <w:br/>
      </w:r>
      <w:r w:rsidR="00AB7E6E" w:rsidRPr="00AB7E6E">
        <w:t xml:space="preserve">Neupogen </w:t>
      </w:r>
      <w:r w:rsidR="00046499" w:rsidRPr="00AB7E6E">
        <w:t>and filgrastim biosimilars</w:t>
      </w:r>
    </w:p>
    <w:p w14:paraId="78861C92" w14:textId="28C0C724" w:rsidR="00203468" w:rsidRPr="00BD1CC1" w:rsidRDefault="00C64534" w:rsidP="008E0F0D">
      <w:pPr>
        <w:pStyle w:val="Heading2"/>
      </w:pPr>
      <w:r w:rsidRPr="00BD1CC1">
        <w:t xml:space="preserve">Products Referenced by this </w:t>
      </w:r>
      <w:proofErr w:type="gramStart"/>
      <w:r w:rsidR="00501602" w:rsidRPr="00BD1CC1">
        <w:t>Document</w:t>
      </w:r>
      <w:proofErr w:type="gramEnd"/>
    </w:p>
    <w:p w14:paraId="5455152B" w14:textId="51CDF48B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73327F">
        <w:rPr>
          <w:rStyle w:val="ui-provider"/>
        </w:rPr>
        <w:t>Over</w:t>
      </w:r>
      <w:r w:rsidR="003F2B68">
        <w:rPr>
          <w:rStyle w:val="ui-provider"/>
        </w:rPr>
        <w:t xml:space="preserve"> </w:t>
      </w:r>
      <w:r w:rsidR="0073327F">
        <w:rPr>
          <w:rStyle w:val="ui-provider"/>
        </w:rPr>
        <w:t>the</w:t>
      </w:r>
      <w:r w:rsidR="003F2B68">
        <w:rPr>
          <w:rStyle w:val="ui-provider"/>
        </w:rPr>
        <w:t xml:space="preserve"> </w:t>
      </w:r>
      <w:r w:rsidR="0073327F">
        <w:rPr>
          <w:rStyle w:val="ui-provider"/>
        </w:rPr>
        <w:t>counter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BD1CC1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BD1CC1" w:rsidRDefault="005B4D7C">
            <w:pPr>
              <w:pStyle w:val="TableHeader"/>
            </w:pPr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BD1CC1" w:rsidRDefault="005B4D7C">
            <w:pPr>
              <w:pStyle w:val="TableHeader"/>
            </w:pPr>
            <w:r w:rsidRPr="00BD1CC1">
              <w:t>Generic Name</w:t>
            </w:r>
          </w:p>
        </w:tc>
      </w:tr>
      <w:tr w:rsidR="005B4D7C" w:rsidRPr="00BD1CC1" w14:paraId="7742B1EC" w14:textId="77777777">
        <w:trPr>
          <w:cantSplit/>
        </w:trPr>
        <w:tc>
          <w:tcPr>
            <w:tcW w:w="5265" w:type="dxa"/>
          </w:tcPr>
          <w:p w14:paraId="4DED0C9B" w14:textId="443243E2" w:rsidR="005B4D7C" w:rsidRPr="008B60EB" w:rsidRDefault="008B60EB" w:rsidP="008B60EB">
            <w:pPr>
              <w:pStyle w:val="TableData"/>
              <w:spacing w:after="0"/>
            </w:pPr>
            <w:r w:rsidRPr="008B60EB">
              <w:t>Neupogen</w:t>
            </w:r>
          </w:p>
        </w:tc>
        <w:tc>
          <w:tcPr>
            <w:tcW w:w="5595" w:type="dxa"/>
          </w:tcPr>
          <w:p w14:paraId="1A09710D" w14:textId="5CE98291" w:rsidR="005B4D7C" w:rsidRPr="008B60EB" w:rsidRDefault="008B60EB" w:rsidP="008B60EB">
            <w:pPr>
              <w:pStyle w:val="TableData"/>
              <w:spacing w:after="0"/>
            </w:pPr>
            <w:r w:rsidRPr="008B60EB">
              <w:t>filgrastim</w:t>
            </w:r>
          </w:p>
        </w:tc>
      </w:tr>
      <w:tr w:rsidR="00D60DD7" w:rsidRPr="00BD1CC1" w14:paraId="43E015BD" w14:textId="77777777" w:rsidTr="008B60EB">
        <w:trPr>
          <w:cantSplit/>
          <w:trHeight w:val="259"/>
        </w:trPr>
        <w:tc>
          <w:tcPr>
            <w:tcW w:w="5265" w:type="dxa"/>
          </w:tcPr>
          <w:p w14:paraId="6C106869" w14:textId="14DBBFAD" w:rsidR="00D60DD7" w:rsidRPr="008B60EB" w:rsidRDefault="008B60EB" w:rsidP="008B60EB">
            <w:pPr>
              <w:pStyle w:val="TableData"/>
              <w:spacing w:after="0"/>
            </w:pPr>
            <w:r w:rsidRPr="008B60EB">
              <w:rPr>
                <w:lang w:val="pt-BR"/>
              </w:rPr>
              <w:t>Granix</w:t>
            </w:r>
          </w:p>
        </w:tc>
        <w:tc>
          <w:tcPr>
            <w:tcW w:w="5595" w:type="dxa"/>
          </w:tcPr>
          <w:p w14:paraId="4C827570" w14:textId="6FABA79B" w:rsidR="00D60DD7" w:rsidRPr="008B60EB" w:rsidRDefault="008B60EB" w:rsidP="008B60EB">
            <w:pPr>
              <w:pStyle w:val="TableData"/>
              <w:spacing w:after="0"/>
            </w:pPr>
            <w:r w:rsidRPr="008B60EB">
              <w:rPr>
                <w:lang w:val="pt-BR"/>
              </w:rPr>
              <w:t>tbo-filgrastim</w:t>
            </w:r>
          </w:p>
        </w:tc>
      </w:tr>
      <w:tr w:rsidR="00D60DD7" w:rsidRPr="00BD1CC1" w14:paraId="3135E634" w14:textId="77777777">
        <w:trPr>
          <w:cantSplit/>
        </w:trPr>
        <w:tc>
          <w:tcPr>
            <w:tcW w:w="5265" w:type="dxa"/>
          </w:tcPr>
          <w:p w14:paraId="02BABFEF" w14:textId="381769DD" w:rsidR="00D60DD7" w:rsidRPr="008B60EB" w:rsidRDefault="008B60EB" w:rsidP="008B60EB">
            <w:pPr>
              <w:pStyle w:val="TableData"/>
              <w:spacing w:after="0"/>
            </w:pPr>
            <w:r w:rsidRPr="008B60EB">
              <w:rPr>
                <w:lang w:val="pt-BR"/>
              </w:rPr>
              <w:t>Nivestym</w:t>
            </w:r>
          </w:p>
        </w:tc>
        <w:tc>
          <w:tcPr>
            <w:tcW w:w="5595" w:type="dxa"/>
          </w:tcPr>
          <w:p w14:paraId="5161D504" w14:textId="5519D0D3" w:rsidR="00D60DD7" w:rsidRPr="008B60EB" w:rsidRDefault="008B60EB" w:rsidP="008B60EB">
            <w:pPr>
              <w:pStyle w:val="TableData"/>
              <w:spacing w:after="0"/>
            </w:pPr>
            <w:r w:rsidRPr="008B60EB">
              <w:rPr>
                <w:lang w:val="pt-BR"/>
              </w:rPr>
              <w:t>filgrastim-aafi</w:t>
            </w:r>
          </w:p>
        </w:tc>
      </w:tr>
      <w:tr w:rsidR="005B6022" w:rsidRPr="00BD1CC1" w14:paraId="0757C85E" w14:textId="77777777">
        <w:trPr>
          <w:cantSplit/>
        </w:trPr>
        <w:tc>
          <w:tcPr>
            <w:tcW w:w="5265" w:type="dxa"/>
          </w:tcPr>
          <w:p w14:paraId="36AC8F08" w14:textId="5CCB27D1" w:rsidR="005B6022" w:rsidRPr="008B60EB" w:rsidRDefault="005B6022" w:rsidP="008B60EB">
            <w:pPr>
              <w:pStyle w:val="TableData"/>
              <w:spacing w:after="0"/>
              <w:rPr>
                <w:lang w:val="pt-BR"/>
              </w:rPr>
            </w:pPr>
            <w:r>
              <w:rPr>
                <w:lang w:val="pt-BR"/>
              </w:rPr>
              <w:t>Nypozi</w:t>
            </w:r>
          </w:p>
        </w:tc>
        <w:tc>
          <w:tcPr>
            <w:tcW w:w="5595" w:type="dxa"/>
          </w:tcPr>
          <w:p w14:paraId="14F7F3FC" w14:textId="76D0EEDF" w:rsidR="005B6022" w:rsidRPr="008B60EB" w:rsidRDefault="005B6022" w:rsidP="008B60EB">
            <w:pPr>
              <w:pStyle w:val="TableData"/>
              <w:spacing w:after="0"/>
              <w:rPr>
                <w:lang w:val="pt-BR"/>
              </w:rPr>
            </w:pPr>
            <w:r>
              <w:rPr>
                <w:lang w:val="pt-BR"/>
              </w:rPr>
              <w:t>filgrastim-</w:t>
            </w:r>
            <w:r w:rsidR="0075637D">
              <w:rPr>
                <w:lang w:val="pt-BR"/>
              </w:rPr>
              <w:t>txid</w:t>
            </w:r>
          </w:p>
        </w:tc>
      </w:tr>
      <w:tr w:rsidR="005B4D7C" w:rsidRPr="00BD1CC1" w14:paraId="25752006" w14:textId="77777777">
        <w:trPr>
          <w:cantSplit/>
        </w:trPr>
        <w:tc>
          <w:tcPr>
            <w:tcW w:w="5265" w:type="dxa"/>
          </w:tcPr>
          <w:p w14:paraId="54B09F66" w14:textId="4B18A06F" w:rsidR="005B4D7C" w:rsidRPr="008B60EB" w:rsidRDefault="008B60EB" w:rsidP="008B60EB">
            <w:pPr>
              <w:pStyle w:val="TableData"/>
              <w:spacing w:after="0"/>
            </w:pPr>
            <w:r w:rsidRPr="008B60EB">
              <w:rPr>
                <w:lang w:val="pt-BR"/>
              </w:rPr>
              <w:t>Releuko</w:t>
            </w:r>
          </w:p>
        </w:tc>
        <w:tc>
          <w:tcPr>
            <w:tcW w:w="5595" w:type="dxa"/>
          </w:tcPr>
          <w:p w14:paraId="16DFDEDA" w14:textId="24A0B34D" w:rsidR="005B4D7C" w:rsidRPr="008B60EB" w:rsidRDefault="008B60EB" w:rsidP="008B60EB">
            <w:pPr>
              <w:pStyle w:val="TableData"/>
              <w:spacing w:after="0"/>
            </w:pPr>
            <w:r w:rsidRPr="008B60EB">
              <w:rPr>
                <w:lang w:val="pt-BR"/>
              </w:rPr>
              <w:t>filgrastim-ayow</w:t>
            </w:r>
          </w:p>
        </w:tc>
      </w:tr>
      <w:tr w:rsidR="005B4D7C" w:rsidRPr="00BD1CC1" w14:paraId="1AAF0CF9" w14:textId="77777777">
        <w:trPr>
          <w:cantSplit/>
        </w:trPr>
        <w:tc>
          <w:tcPr>
            <w:tcW w:w="5265" w:type="dxa"/>
          </w:tcPr>
          <w:p w14:paraId="195A3CF4" w14:textId="128D3322" w:rsidR="005B4D7C" w:rsidRPr="008B60EB" w:rsidRDefault="008B60EB" w:rsidP="008B60EB">
            <w:pPr>
              <w:pStyle w:val="TableData"/>
              <w:spacing w:after="0"/>
            </w:pPr>
            <w:r w:rsidRPr="008B60EB">
              <w:rPr>
                <w:lang w:val="pt-BR"/>
              </w:rPr>
              <w:t>Zarxio</w:t>
            </w:r>
          </w:p>
        </w:tc>
        <w:tc>
          <w:tcPr>
            <w:tcW w:w="5595" w:type="dxa"/>
          </w:tcPr>
          <w:p w14:paraId="35E12E04" w14:textId="009292D7" w:rsidR="005B4D7C" w:rsidRPr="008B60EB" w:rsidRDefault="008B60EB" w:rsidP="008B60EB">
            <w:pPr>
              <w:pStyle w:val="TableData"/>
              <w:spacing w:after="0"/>
            </w:pPr>
            <w:r w:rsidRPr="008B60EB">
              <w:rPr>
                <w:lang w:val="pt-BR"/>
              </w:rPr>
              <w:t>filgrastim-sndz</w:t>
            </w:r>
          </w:p>
        </w:tc>
      </w:tr>
    </w:tbl>
    <w:p w14:paraId="14CE6108" w14:textId="35E49AB0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1E1F1E5B" w14:textId="77777777" w:rsidR="008B60EB" w:rsidRPr="008D1D8B" w:rsidRDefault="008B60EB" w:rsidP="008B60EB">
      <w:pPr>
        <w:pStyle w:val="BodyText"/>
      </w:pPr>
      <w:r w:rsidRPr="008D1D8B">
        <w:t xml:space="preserve">The indications below including FDA-approved indications and compendial uses are considered a covered benefit provided that all the approval criteria are </w:t>
      </w:r>
      <w:proofErr w:type="gramStart"/>
      <w:r w:rsidRPr="008D1D8B">
        <w:t>met</w:t>
      </w:r>
      <w:proofErr w:type="gramEnd"/>
      <w:r w:rsidRPr="008D1D8B">
        <w:t xml:space="preserve"> and the member has no exclusions to the prescribed therapy.</w:t>
      </w:r>
    </w:p>
    <w:p w14:paraId="134B5687" w14:textId="652B4266" w:rsidR="00ED052F" w:rsidRDefault="00ED052F" w:rsidP="00ED052F">
      <w:pPr>
        <w:pStyle w:val="Heading3"/>
        <w:keepNext w:val="0"/>
      </w:pPr>
      <w:r w:rsidRPr="00BD1CC1">
        <w:t>FDA-approved Indications</w:t>
      </w:r>
    </w:p>
    <w:p w14:paraId="757F202D" w14:textId="013F85D1" w:rsidR="009911F9" w:rsidRPr="009911F9" w:rsidRDefault="009911F9" w:rsidP="009911F9">
      <w:pPr>
        <w:pStyle w:val="Heading4"/>
      </w:pPr>
      <w:r w:rsidRPr="009911F9">
        <w:t>Neupogen</w:t>
      </w:r>
    </w:p>
    <w:p w14:paraId="29024394" w14:textId="110B48A9" w:rsidR="009911F9" w:rsidRPr="00AA1882" w:rsidRDefault="009911F9" w:rsidP="009911F9">
      <w:pPr>
        <w:pStyle w:val="Heading5"/>
      </w:pPr>
      <w:r>
        <w:t xml:space="preserve">Patients with </w:t>
      </w:r>
      <w:r w:rsidRPr="00AA1882">
        <w:t>Cancer Receiving Myelosuppressive Chemotherapy</w:t>
      </w:r>
    </w:p>
    <w:p w14:paraId="01AFD9D1" w14:textId="4069C677" w:rsidR="009911F9" w:rsidRPr="009911F9" w:rsidRDefault="009911F9" w:rsidP="009911F9">
      <w:pPr>
        <w:pStyle w:val="BodyText"/>
      </w:pPr>
      <w:r w:rsidRPr="00AA1882">
        <w:t>Neupogen is indicated to decrease the incidence of infection‚ as manifested by febrile neutropenia‚ in patients with non-myeloid malignancies receiving myelosuppressive anti-cancer drugs associated with a significant incidence of severe neutropenia with fever.</w:t>
      </w:r>
    </w:p>
    <w:p w14:paraId="5243DD3F" w14:textId="77777777" w:rsidR="009911F9" w:rsidRPr="009911F9" w:rsidRDefault="009911F9" w:rsidP="009911F9">
      <w:pPr>
        <w:pStyle w:val="Heading5"/>
      </w:pPr>
      <w:r w:rsidRPr="009911F9">
        <w:lastRenderedPageBreak/>
        <w:t>Patients With Acute Myeloid Leukemia Receiving Induction or Consolidation Chemotherapy</w:t>
      </w:r>
    </w:p>
    <w:p w14:paraId="108BAE2E" w14:textId="652B6092" w:rsidR="009911F9" w:rsidRDefault="009911F9" w:rsidP="009911F9">
      <w:pPr>
        <w:pStyle w:val="BodyText"/>
      </w:pPr>
      <w:r w:rsidRPr="00AA1882">
        <w:t xml:space="preserve">Neupogen is indicated for reducing the time to neutrophil recovery and the duration of fever, following induction or consolidation chemotherapy treatment of </w:t>
      </w:r>
      <w:r>
        <w:t>patients</w:t>
      </w:r>
      <w:r w:rsidRPr="00AA1882">
        <w:t xml:space="preserve"> with acute myeloid leukemia</w:t>
      </w:r>
      <w:r>
        <w:t xml:space="preserve"> (AML)</w:t>
      </w:r>
      <w:r w:rsidRPr="00AA1882">
        <w:t>.</w:t>
      </w:r>
    </w:p>
    <w:p w14:paraId="4BCC579D" w14:textId="3D19220C" w:rsidR="009911F9" w:rsidRPr="009911F9" w:rsidRDefault="009911F9" w:rsidP="009911F9">
      <w:pPr>
        <w:pStyle w:val="Heading5"/>
      </w:pPr>
      <w:r w:rsidRPr="009911F9">
        <w:t>Patients with Cancer Undergoing Bone Marrow Transplantation</w:t>
      </w:r>
    </w:p>
    <w:p w14:paraId="794A023D" w14:textId="4C24B1CE" w:rsidR="009911F9" w:rsidRDefault="009911F9" w:rsidP="009911F9">
      <w:pPr>
        <w:pStyle w:val="BodyText"/>
      </w:pPr>
      <w:r w:rsidRPr="00AA1882">
        <w:t>Neupogen is indicated to reduce the duration of neutropenia and neutropenia-related clinical sequelae‚ (e.g., febrile neutropenia) in patients with non-myeloid malignancies undergoing myeloablative chemotherapy followed by marrow transplantation.</w:t>
      </w:r>
    </w:p>
    <w:p w14:paraId="1960D888" w14:textId="585184F1" w:rsidR="009911F9" w:rsidRPr="009911F9" w:rsidRDefault="009911F9" w:rsidP="009911F9">
      <w:pPr>
        <w:pStyle w:val="Heading5"/>
      </w:pPr>
      <w:r w:rsidRPr="009911F9">
        <w:t>Patients Undergoing Autologous Peripheral Blood Progenitor Cell Collection and Therapy</w:t>
      </w:r>
    </w:p>
    <w:p w14:paraId="335FA815" w14:textId="36C613D6" w:rsidR="009911F9" w:rsidRDefault="009911F9" w:rsidP="009911F9">
      <w:pPr>
        <w:pStyle w:val="BodyText"/>
      </w:pPr>
      <w:r w:rsidRPr="00AA1882">
        <w:t xml:space="preserve">Neupogen is indicated for the mobilization of </w:t>
      </w:r>
      <w:r>
        <w:t xml:space="preserve">autologous </w:t>
      </w:r>
      <w:r w:rsidRPr="00AA1882">
        <w:t>hematopoietic progenitor cells into the peripheral blood for collection by leukapheresis.</w:t>
      </w:r>
    </w:p>
    <w:p w14:paraId="1B532AA2" w14:textId="77777777" w:rsidR="009911F9" w:rsidRPr="009911F9" w:rsidRDefault="009911F9" w:rsidP="009911F9">
      <w:pPr>
        <w:pStyle w:val="Heading5"/>
      </w:pPr>
      <w:r w:rsidRPr="009911F9">
        <w:t>Patients With Severe Chronic Neutropenia</w:t>
      </w:r>
    </w:p>
    <w:p w14:paraId="2656A427" w14:textId="67F3D713" w:rsidR="009911F9" w:rsidRDefault="009911F9" w:rsidP="009911F9">
      <w:pPr>
        <w:pStyle w:val="BodyText"/>
      </w:pPr>
      <w:r w:rsidRPr="00AA1882">
        <w:t>Neupogen is indicated for chronic administration to reduce the incidence and duration of sequelae of neutropenia (</w:t>
      </w:r>
      <w:proofErr w:type="gramStart"/>
      <w:r w:rsidRPr="00AA1882">
        <w:t>e.g.</w:t>
      </w:r>
      <w:proofErr w:type="gramEnd"/>
      <w:r w:rsidRPr="00AA1882">
        <w:t>‚ fever‚ infections‚ oropharyngeal ulcers) in symptomatic patients with congenital neutropenia‚ cyclic neutropenia‚ or idiopathic neutropenia.</w:t>
      </w:r>
    </w:p>
    <w:p w14:paraId="64E43944" w14:textId="77777777" w:rsidR="009911F9" w:rsidRPr="009911F9" w:rsidRDefault="009911F9" w:rsidP="009911F9">
      <w:pPr>
        <w:pStyle w:val="Heading5"/>
      </w:pPr>
      <w:r w:rsidRPr="009911F9">
        <w:t>Patients Acutely Exposed to Myelosuppressive Doses of Radiation (Hematopoietic Syndrome of Acute Radiation Syndrome)</w:t>
      </w:r>
    </w:p>
    <w:p w14:paraId="1F7AAD09" w14:textId="4EDC9373" w:rsidR="009911F9" w:rsidRDefault="009911F9" w:rsidP="009911F9">
      <w:pPr>
        <w:pStyle w:val="BodyText"/>
      </w:pPr>
      <w:r>
        <w:t>Neupogen is indicated to increase survival in patients acutely exposed to myelosuppressive doses of radiation (Hematopoietic Syndrome of Acute Radiation Syndrome).</w:t>
      </w:r>
    </w:p>
    <w:p w14:paraId="404CE72B" w14:textId="7CFD6349" w:rsidR="009911F9" w:rsidRPr="009911F9" w:rsidRDefault="009911F9" w:rsidP="009911F9">
      <w:pPr>
        <w:pStyle w:val="Heading4"/>
      </w:pPr>
      <w:proofErr w:type="spellStart"/>
      <w:r w:rsidRPr="009911F9">
        <w:t>Nivestym</w:t>
      </w:r>
      <w:proofErr w:type="spellEnd"/>
    </w:p>
    <w:p w14:paraId="614D3F9A" w14:textId="5D2F6E4E" w:rsidR="009911F9" w:rsidRPr="00AA1882" w:rsidRDefault="009911F9" w:rsidP="009911F9">
      <w:pPr>
        <w:pStyle w:val="Heading5"/>
      </w:pPr>
      <w:r>
        <w:t xml:space="preserve">Patients with </w:t>
      </w:r>
      <w:r w:rsidRPr="00AA1882">
        <w:t>Cancer Receiving Myelosuppressive Chemotherapy</w:t>
      </w:r>
    </w:p>
    <w:p w14:paraId="6B8DCEC2" w14:textId="77777777" w:rsidR="009911F9" w:rsidRDefault="009911F9" w:rsidP="009911F9">
      <w:pPr>
        <w:pStyle w:val="BodyText"/>
      </w:pPr>
      <w:proofErr w:type="spellStart"/>
      <w:r>
        <w:t>Nivestym</w:t>
      </w:r>
      <w:proofErr w:type="spellEnd"/>
      <w:r w:rsidRPr="00AA1882">
        <w:t xml:space="preserve"> is indicated to decrease the incidence of infection‚ as manifested by febrile neutropenia‚ in patients with non-myeloid malignancies receiving myelosuppressive anti-cancer drugs associated with a significant incidence of severe neutropenia with fever.</w:t>
      </w:r>
    </w:p>
    <w:p w14:paraId="0CDBB4B9" w14:textId="77777777" w:rsidR="009911F9" w:rsidRPr="00AA1882" w:rsidRDefault="009911F9" w:rsidP="009911F9">
      <w:pPr>
        <w:pStyle w:val="Heading5"/>
      </w:pPr>
      <w:r w:rsidRPr="00AA1882">
        <w:t xml:space="preserve">Patients With Acute Myeloid Leukemia Receiving Induction or Consolidation </w:t>
      </w:r>
      <w:r>
        <w:t>Chemotherapy</w:t>
      </w:r>
    </w:p>
    <w:p w14:paraId="63B0C1EC" w14:textId="108EE80B" w:rsidR="009911F9" w:rsidRDefault="009911F9" w:rsidP="009911F9">
      <w:pPr>
        <w:pStyle w:val="BodyText"/>
      </w:pPr>
      <w:proofErr w:type="spellStart"/>
      <w:r>
        <w:t>Nivestym</w:t>
      </w:r>
      <w:proofErr w:type="spellEnd"/>
      <w:r w:rsidRPr="00AA1882">
        <w:t xml:space="preserve"> is indicated for reducing the time to neutrophil recovery and the duration of fever, following induction or consolidation chemotherapy treatment of </w:t>
      </w:r>
      <w:r>
        <w:t>patients</w:t>
      </w:r>
      <w:r w:rsidRPr="00AA1882">
        <w:t xml:space="preserve"> with acute myeloid leukemia</w:t>
      </w:r>
      <w:r>
        <w:t xml:space="preserve"> (AML)</w:t>
      </w:r>
      <w:r w:rsidRPr="00AA1882">
        <w:t>.</w:t>
      </w:r>
    </w:p>
    <w:p w14:paraId="671B1CD0" w14:textId="77777777" w:rsidR="009911F9" w:rsidRPr="00AA1882" w:rsidRDefault="009911F9" w:rsidP="009911F9">
      <w:pPr>
        <w:pStyle w:val="Heading5"/>
      </w:pPr>
      <w:r>
        <w:t xml:space="preserve">Patients with </w:t>
      </w:r>
      <w:r w:rsidRPr="00AA1882">
        <w:t xml:space="preserve">Cancer </w:t>
      </w:r>
      <w:r>
        <w:t>Undergoing</w:t>
      </w:r>
      <w:r w:rsidRPr="00AA1882">
        <w:t xml:space="preserve"> Bone Marrow Transplant</w:t>
      </w:r>
      <w:r>
        <w:t>ation</w:t>
      </w:r>
      <w:r w:rsidRPr="00AA1882">
        <w:t xml:space="preserve"> </w:t>
      </w:r>
      <w:r>
        <w:t>(BMT)</w:t>
      </w:r>
    </w:p>
    <w:p w14:paraId="162D4F13" w14:textId="5568B64D" w:rsidR="009911F9" w:rsidRDefault="009911F9" w:rsidP="009911F9">
      <w:pPr>
        <w:pStyle w:val="BodyText"/>
      </w:pPr>
      <w:proofErr w:type="spellStart"/>
      <w:r>
        <w:t>Nivestym</w:t>
      </w:r>
      <w:proofErr w:type="spellEnd"/>
      <w:r w:rsidRPr="00AA1882">
        <w:t xml:space="preserve"> is indicated to reduce the duration of neutropenia and neutropenia-related clinical sequelae‚ (e.g., febrile neutropenia) in patients with non-myeloid malignancies undergoing myeloablative chemotherapy followed by </w:t>
      </w:r>
      <w:r>
        <w:t xml:space="preserve">bone </w:t>
      </w:r>
      <w:r w:rsidRPr="00AA1882">
        <w:t>marrow transplantation.</w:t>
      </w:r>
    </w:p>
    <w:p w14:paraId="108E2E73" w14:textId="2D268CAE" w:rsidR="009911F9" w:rsidRPr="00AA1882" w:rsidRDefault="009911F9" w:rsidP="009911F9">
      <w:pPr>
        <w:pStyle w:val="Heading5"/>
      </w:pPr>
      <w:r w:rsidRPr="00AA1882">
        <w:t xml:space="preserve">Patients Undergoing </w:t>
      </w:r>
      <w:r>
        <w:t xml:space="preserve">Autologous </w:t>
      </w:r>
      <w:r w:rsidRPr="00AA1882">
        <w:t>Peripheral Blood Progenitor Cell Collection and Therapy</w:t>
      </w:r>
    </w:p>
    <w:p w14:paraId="3998BAE8" w14:textId="3AEFA77C" w:rsidR="009911F9" w:rsidRDefault="009911F9" w:rsidP="009911F9">
      <w:pPr>
        <w:pStyle w:val="BodyText"/>
      </w:pPr>
      <w:proofErr w:type="spellStart"/>
      <w:r>
        <w:t>Nivestym</w:t>
      </w:r>
      <w:proofErr w:type="spellEnd"/>
      <w:r w:rsidRPr="00AA1882">
        <w:t xml:space="preserve"> is indicated for the mobilization of </w:t>
      </w:r>
      <w:r>
        <w:t xml:space="preserve">autologous </w:t>
      </w:r>
      <w:r w:rsidRPr="00AA1882">
        <w:t>hematopoietic progenitor cells into the peripheral blood for collection by leukapheresis.</w:t>
      </w:r>
    </w:p>
    <w:p w14:paraId="4EABD44F" w14:textId="77777777" w:rsidR="009911F9" w:rsidRPr="00AA1882" w:rsidRDefault="009911F9" w:rsidP="009911F9">
      <w:pPr>
        <w:pStyle w:val="Heading5"/>
      </w:pPr>
      <w:r w:rsidRPr="00AA1882">
        <w:lastRenderedPageBreak/>
        <w:t>Patients With Severe Chronic Neutropenia</w:t>
      </w:r>
    </w:p>
    <w:p w14:paraId="30FCC878" w14:textId="16F90356" w:rsidR="009911F9" w:rsidRDefault="009911F9" w:rsidP="009911F9">
      <w:pPr>
        <w:pStyle w:val="BodyText"/>
      </w:pPr>
      <w:proofErr w:type="spellStart"/>
      <w:r>
        <w:t>Nivestym</w:t>
      </w:r>
      <w:proofErr w:type="spellEnd"/>
      <w:r w:rsidRPr="00AA1882">
        <w:t xml:space="preserve"> is indicated for chronic administration to reduce the incidence and duration of sequelae of neutropenia (</w:t>
      </w:r>
      <w:proofErr w:type="gramStart"/>
      <w:r w:rsidRPr="00AA1882">
        <w:t>e.g.</w:t>
      </w:r>
      <w:proofErr w:type="gramEnd"/>
      <w:r w:rsidRPr="00AA1882">
        <w:t>‚ fever‚ infections‚ oropharyngeal ulcers) in symptomatic patients with congenital neutropenia‚ cyclic neutropenia‚ or idiopathic neutropenia.</w:t>
      </w:r>
    </w:p>
    <w:p w14:paraId="57A83624" w14:textId="1FD6E8D9" w:rsidR="009911F9" w:rsidRPr="00C73AF6" w:rsidRDefault="009911F9" w:rsidP="009911F9">
      <w:pPr>
        <w:pStyle w:val="Heading4"/>
        <w:rPr>
          <w:vertAlign w:val="superscript"/>
        </w:rPr>
      </w:pPr>
      <w:proofErr w:type="spellStart"/>
      <w:r w:rsidRPr="00251030">
        <w:t>Granix</w:t>
      </w:r>
      <w:proofErr w:type="spellEnd"/>
    </w:p>
    <w:p w14:paraId="6B31E84E" w14:textId="6A01B210" w:rsidR="009911F9" w:rsidRDefault="009911F9" w:rsidP="009911F9">
      <w:pPr>
        <w:pStyle w:val="BodyText"/>
      </w:pPr>
      <w:proofErr w:type="spellStart"/>
      <w:r w:rsidRPr="00C73AF6">
        <w:t>Granix</w:t>
      </w:r>
      <w:proofErr w:type="spellEnd"/>
      <w:r w:rsidRPr="00C73AF6">
        <w:t xml:space="preserve"> is indicated to reduce the duration of severe neutropenia in </w:t>
      </w:r>
      <w:r w:rsidRPr="00487A86">
        <w:t>adult and pediatric</w:t>
      </w:r>
      <w:r>
        <w:t xml:space="preserve"> </w:t>
      </w:r>
      <w:r w:rsidRPr="00C73AF6">
        <w:t xml:space="preserve">patients </w:t>
      </w:r>
      <w:r w:rsidRPr="00487A86">
        <w:t>1 month</w:t>
      </w:r>
      <w:r w:rsidRPr="00145DF7">
        <w:rPr>
          <w:highlight w:val="yellow"/>
        </w:rPr>
        <w:t xml:space="preserve"> </w:t>
      </w:r>
      <w:r w:rsidRPr="00487A86">
        <w:t>and older</w:t>
      </w:r>
      <w:r>
        <w:t xml:space="preserve"> </w:t>
      </w:r>
      <w:r w:rsidRPr="00C73AF6">
        <w:t>with non-myeloid malignancies receiving myelosuppressive anti-cancer drugs associated with a clinically significant incidence of febrile neutropenia.</w:t>
      </w:r>
    </w:p>
    <w:p w14:paraId="34385FEB" w14:textId="12AF9F7B" w:rsidR="009911F9" w:rsidRPr="009911F9" w:rsidRDefault="009911F9" w:rsidP="009911F9">
      <w:pPr>
        <w:pStyle w:val="Heading4"/>
      </w:pPr>
      <w:r w:rsidRPr="009911F9">
        <w:t>Zarxio</w:t>
      </w:r>
    </w:p>
    <w:p w14:paraId="71C482D3" w14:textId="09494F07" w:rsidR="009911F9" w:rsidRPr="00AA1882" w:rsidRDefault="009911F9" w:rsidP="009911F9">
      <w:pPr>
        <w:pStyle w:val="Heading5"/>
      </w:pPr>
      <w:r>
        <w:t xml:space="preserve">Patients with </w:t>
      </w:r>
      <w:r w:rsidRPr="00AA1882">
        <w:t>Cancer Receiving Myelosuppressive Chemotherapy</w:t>
      </w:r>
    </w:p>
    <w:p w14:paraId="1ADBCB4C" w14:textId="5E18F603" w:rsidR="009911F9" w:rsidRDefault="009911F9" w:rsidP="009911F9">
      <w:pPr>
        <w:pStyle w:val="BodyText"/>
      </w:pPr>
      <w:r w:rsidRPr="00AA1882">
        <w:t>Zarxio is indicated to decrease the incidence of infection‚ as manifested by febrile neutropenia‚ in patients with non-myeloid malignancies receiving myelosuppressive anti-cancer drugs associated with a significant incidence of severe neutropenia with fever.</w:t>
      </w:r>
    </w:p>
    <w:p w14:paraId="562D615A" w14:textId="77777777" w:rsidR="009911F9" w:rsidRPr="00AA1882" w:rsidRDefault="009911F9" w:rsidP="009911F9">
      <w:pPr>
        <w:pStyle w:val="Heading5"/>
      </w:pPr>
      <w:r w:rsidRPr="00AA1882">
        <w:t xml:space="preserve">Patients With Acute Myeloid Leukemia Receiving Induction or Consolidation </w:t>
      </w:r>
      <w:r>
        <w:t>Chemotherapy</w:t>
      </w:r>
    </w:p>
    <w:p w14:paraId="25FCAF1C" w14:textId="7EA2C7FF" w:rsidR="009911F9" w:rsidRDefault="009911F9" w:rsidP="009911F9">
      <w:pPr>
        <w:pStyle w:val="BodyText"/>
      </w:pPr>
      <w:r w:rsidRPr="00AA1882">
        <w:t xml:space="preserve">Zarxio is indicated for reducing the time to neutrophil recovery and the duration of fever, following induction or consolidation chemotherapy treatment of </w:t>
      </w:r>
      <w:r>
        <w:t>patients</w:t>
      </w:r>
      <w:r w:rsidRPr="00AA1882">
        <w:t xml:space="preserve"> with acute myeloid leukemia</w:t>
      </w:r>
      <w:r>
        <w:t xml:space="preserve"> (AML)</w:t>
      </w:r>
      <w:r w:rsidRPr="00AA1882">
        <w:t>.</w:t>
      </w:r>
    </w:p>
    <w:p w14:paraId="677FC034" w14:textId="45DF8BF4" w:rsidR="009911F9" w:rsidRPr="00F4426F" w:rsidRDefault="009911F9" w:rsidP="009911F9">
      <w:pPr>
        <w:pStyle w:val="Heading5"/>
      </w:pPr>
      <w:r>
        <w:t xml:space="preserve">Patients with </w:t>
      </w:r>
      <w:r w:rsidRPr="00AA1882">
        <w:t xml:space="preserve">Cancer </w:t>
      </w:r>
      <w:r>
        <w:t xml:space="preserve">Undergoing </w:t>
      </w:r>
      <w:r w:rsidRPr="00AA1882">
        <w:t>Bone Marrow Transplant</w:t>
      </w:r>
      <w:r>
        <w:t>ation</w:t>
      </w:r>
    </w:p>
    <w:p w14:paraId="2AFD6FE5" w14:textId="2C08F578" w:rsidR="009911F9" w:rsidRDefault="009911F9" w:rsidP="009911F9">
      <w:pPr>
        <w:pStyle w:val="BodyText"/>
      </w:pPr>
      <w:r w:rsidRPr="00AA1882">
        <w:t xml:space="preserve">Zarxio is indicated to reduce the duration of neutropenia and neutropenia-related clinical sequelae‚ (e.g., febrile neutropenia) in patients with non-myeloid malignancies undergoing myeloablative chemotherapy followed by </w:t>
      </w:r>
      <w:r>
        <w:t xml:space="preserve">bone </w:t>
      </w:r>
      <w:r w:rsidRPr="00AA1882">
        <w:t>marrow transplantation.</w:t>
      </w:r>
    </w:p>
    <w:p w14:paraId="27A75469" w14:textId="4B0F3A6F" w:rsidR="009911F9" w:rsidRPr="00AA1882" w:rsidRDefault="009911F9" w:rsidP="009911F9">
      <w:pPr>
        <w:pStyle w:val="Heading5"/>
      </w:pPr>
      <w:r w:rsidRPr="00AA1882">
        <w:t xml:space="preserve">Patients Undergoing </w:t>
      </w:r>
      <w:r>
        <w:t xml:space="preserve">Autologous </w:t>
      </w:r>
      <w:r w:rsidRPr="00AA1882">
        <w:t>Peripheral Blood Progenitor Cell Collection and Therapy</w:t>
      </w:r>
    </w:p>
    <w:p w14:paraId="595DF977" w14:textId="6EBDD0A9" w:rsidR="009911F9" w:rsidRDefault="009911F9" w:rsidP="009911F9">
      <w:pPr>
        <w:pStyle w:val="BodyText"/>
      </w:pPr>
      <w:r w:rsidRPr="00AA1882">
        <w:t xml:space="preserve">Zarxio is indicated for the mobilization of </w:t>
      </w:r>
      <w:r>
        <w:t xml:space="preserve">autologous </w:t>
      </w:r>
      <w:r w:rsidRPr="00AA1882">
        <w:t>hematopoietic progenitor cells into the peripheral blood for collection by leukapheresis.</w:t>
      </w:r>
    </w:p>
    <w:p w14:paraId="558A7B2F" w14:textId="77777777" w:rsidR="009911F9" w:rsidRPr="00AA1882" w:rsidRDefault="009911F9" w:rsidP="009911F9">
      <w:pPr>
        <w:pStyle w:val="Heading5"/>
      </w:pPr>
      <w:r w:rsidRPr="00AA1882">
        <w:t>Patients With Severe Chronic Neutropenia</w:t>
      </w:r>
    </w:p>
    <w:p w14:paraId="3CA4A586" w14:textId="77777777" w:rsidR="009911F9" w:rsidRPr="00E86F13" w:rsidRDefault="009911F9" w:rsidP="009911F9">
      <w:pPr>
        <w:pStyle w:val="BodyText"/>
      </w:pPr>
      <w:r w:rsidRPr="00E86F13">
        <w:t>Zarxio is indicated for chronic administration to reduce the incidence and duration of sequelae of neutropenia (</w:t>
      </w:r>
      <w:proofErr w:type="gramStart"/>
      <w:r w:rsidRPr="00E86F13">
        <w:t>e.g.</w:t>
      </w:r>
      <w:proofErr w:type="gramEnd"/>
      <w:r w:rsidRPr="00E86F13">
        <w:t>‚ fever‚ infections‚ oropharyngeal ulcers) in symptomatic patients with congenital neutropenia‚ cyclic neutropenia‚ or idiopathic neutropenia.</w:t>
      </w:r>
    </w:p>
    <w:p w14:paraId="1C79A5E9" w14:textId="7685F292" w:rsidR="009911F9" w:rsidRPr="009911F9" w:rsidRDefault="009911F9" w:rsidP="009911F9">
      <w:pPr>
        <w:pStyle w:val="Heading4"/>
      </w:pPr>
      <w:r w:rsidRPr="009911F9">
        <w:t>Releuko</w:t>
      </w:r>
    </w:p>
    <w:p w14:paraId="01DE8ED3" w14:textId="28842EB0" w:rsidR="009911F9" w:rsidRPr="00AA1882" w:rsidRDefault="009911F9" w:rsidP="009911F9">
      <w:pPr>
        <w:pStyle w:val="Heading5"/>
      </w:pPr>
      <w:r>
        <w:t xml:space="preserve">Patients with </w:t>
      </w:r>
      <w:r w:rsidRPr="00AA1882">
        <w:t>Cancer Receiving Myelosuppressive Chemotherapy</w:t>
      </w:r>
    </w:p>
    <w:p w14:paraId="474427A7" w14:textId="6D2F315F" w:rsidR="009911F9" w:rsidRPr="00AA1882" w:rsidRDefault="009911F9" w:rsidP="009911F9">
      <w:pPr>
        <w:pStyle w:val="BodyText"/>
      </w:pPr>
      <w:r>
        <w:t>Releuko</w:t>
      </w:r>
      <w:r w:rsidRPr="00AA1882">
        <w:t xml:space="preserve"> is indicated to decrease the incidence of infection‚ as manifested by febrile neutropenia‚ in patients with non-myeloid malignancies receiving myelosuppressive anti-cancer drugs associated with a significant incidence of severe neutropenia with fever.</w:t>
      </w:r>
    </w:p>
    <w:p w14:paraId="1CB21566" w14:textId="77777777" w:rsidR="009911F9" w:rsidRPr="00AA1882" w:rsidRDefault="009911F9" w:rsidP="009911F9">
      <w:pPr>
        <w:pStyle w:val="Heading5"/>
      </w:pPr>
      <w:r w:rsidRPr="00AA1882">
        <w:t xml:space="preserve">Patients With Acute Myeloid Leukemia Receiving Induction or Consolidation </w:t>
      </w:r>
      <w:r>
        <w:t>Chemotherapy</w:t>
      </w:r>
    </w:p>
    <w:p w14:paraId="76EBBAD3" w14:textId="02FADBF5" w:rsidR="009911F9" w:rsidRDefault="009911F9" w:rsidP="009911F9">
      <w:pPr>
        <w:pStyle w:val="BodyText"/>
      </w:pPr>
      <w:r>
        <w:t>Releuko</w:t>
      </w:r>
      <w:r w:rsidRPr="00AA1882">
        <w:t xml:space="preserve"> is indicated for reducing the time to neutrophil recovery and the duration of fever, following induction or consolidation chemotherapy treatment of </w:t>
      </w:r>
      <w:r>
        <w:t>patients</w:t>
      </w:r>
      <w:r w:rsidRPr="00AA1882">
        <w:t xml:space="preserve"> with acute myeloid leukemia</w:t>
      </w:r>
      <w:r>
        <w:t xml:space="preserve"> (AML).</w:t>
      </w:r>
    </w:p>
    <w:p w14:paraId="46245FFB" w14:textId="6CD50385" w:rsidR="009911F9" w:rsidRPr="00AA1882" w:rsidRDefault="009911F9" w:rsidP="0027111F">
      <w:pPr>
        <w:pStyle w:val="Heading5"/>
        <w:keepNext w:val="0"/>
        <w:keepLines w:val="0"/>
        <w:widowControl w:val="0"/>
      </w:pPr>
      <w:r>
        <w:lastRenderedPageBreak/>
        <w:t xml:space="preserve">Patients with </w:t>
      </w:r>
      <w:r w:rsidRPr="00AA1882">
        <w:t xml:space="preserve">Cancer </w:t>
      </w:r>
      <w:r>
        <w:t>Undergoing</w:t>
      </w:r>
      <w:r w:rsidRPr="00AA1882">
        <w:t xml:space="preserve"> Bone Marrow Transplant</w:t>
      </w:r>
      <w:r>
        <w:t>ation</w:t>
      </w:r>
    </w:p>
    <w:p w14:paraId="7C82EE68" w14:textId="42F4E407" w:rsidR="009911F9" w:rsidRDefault="009911F9" w:rsidP="0027111F">
      <w:pPr>
        <w:pStyle w:val="BodyText"/>
        <w:widowControl w:val="0"/>
      </w:pPr>
      <w:r>
        <w:t>Releuko</w:t>
      </w:r>
      <w:r w:rsidRPr="00AA1882">
        <w:t xml:space="preserve"> is indicated to reduce the duration of neutropenia and neutropenia-related clinical sequelae‚ (e.g., febrile neutropenia) in patients with non-myeloid malignancies undergoing myeloablative chemotherapy followed by </w:t>
      </w:r>
      <w:r>
        <w:t xml:space="preserve">bone </w:t>
      </w:r>
      <w:r w:rsidRPr="00AA1882">
        <w:t>marrow transplantation.</w:t>
      </w:r>
    </w:p>
    <w:p w14:paraId="2F192C9C" w14:textId="77777777" w:rsidR="009911F9" w:rsidRPr="00AA1882" w:rsidRDefault="009911F9" w:rsidP="009911F9">
      <w:pPr>
        <w:pStyle w:val="Heading5"/>
      </w:pPr>
      <w:r w:rsidRPr="00AA1882">
        <w:t>Patients With Severe Chronic Neutropenia</w:t>
      </w:r>
    </w:p>
    <w:p w14:paraId="73D11E28" w14:textId="47DCC1E0" w:rsidR="009911F9" w:rsidRDefault="009911F9" w:rsidP="009911F9">
      <w:pPr>
        <w:pStyle w:val="BodyText"/>
      </w:pPr>
      <w:r>
        <w:t>Releuko</w:t>
      </w:r>
      <w:r w:rsidRPr="00AA1882">
        <w:t xml:space="preserve"> is indicated for chronic administration to reduce the incidence and duration of sequelae of neutropenia (</w:t>
      </w:r>
      <w:proofErr w:type="gramStart"/>
      <w:r w:rsidRPr="00AA1882">
        <w:t>e.g.</w:t>
      </w:r>
      <w:proofErr w:type="gramEnd"/>
      <w:r w:rsidRPr="00AA1882">
        <w:t>‚ fever‚ infections‚ oropharyngeal ulcers) in symptomatic patients with congenital neutropenia‚ cyclic neutropenia‚ or idiopathic neutropenia.</w:t>
      </w:r>
    </w:p>
    <w:p w14:paraId="5A69C3A0" w14:textId="20F7C992" w:rsidR="00197C80" w:rsidRDefault="00197C80" w:rsidP="009C39AF">
      <w:pPr>
        <w:pStyle w:val="Heading4"/>
      </w:pPr>
      <w:proofErr w:type="spellStart"/>
      <w:r>
        <w:t>Nypozi</w:t>
      </w:r>
      <w:proofErr w:type="spellEnd"/>
    </w:p>
    <w:p w14:paraId="2682AB44" w14:textId="5CFCB191" w:rsidR="00197C80" w:rsidRDefault="00197C80" w:rsidP="009C39AF">
      <w:pPr>
        <w:pStyle w:val="Heading5"/>
      </w:pPr>
      <w:r>
        <w:t>Patients with Cancer Receiving Myelosuppressive Chemotherapy</w:t>
      </w:r>
    </w:p>
    <w:p w14:paraId="2507CB5F" w14:textId="422ECC1C" w:rsidR="00197C80" w:rsidRPr="00694660" w:rsidRDefault="00197C80" w:rsidP="009C39AF">
      <w:pPr>
        <w:pStyle w:val="BodyText"/>
        <w:widowControl w:val="0"/>
      </w:pPr>
      <w:proofErr w:type="spellStart"/>
      <w:r w:rsidRPr="00694660">
        <w:t>Nypozi</w:t>
      </w:r>
      <w:proofErr w:type="spellEnd"/>
      <w:r w:rsidRPr="00694660">
        <w:t xml:space="preserve"> is indicated to decrease the incidence of infection‚ as manifested by febrile neutropenia‚ in patients with non-myeloid malignancies receiving myelosuppressive anti-cancer drugs associated with a significant incidence of severe neutropenia with fever.</w:t>
      </w:r>
    </w:p>
    <w:p w14:paraId="3711CB50" w14:textId="4B344FE7" w:rsidR="00197C80" w:rsidRDefault="00197C80" w:rsidP="009C39AF">
      <w:pPr>
        <w:pStyle w:val="Heading5"/>
      </w:pPr>
      <w:r>
        <w:t>Patients With Acute Myeloid Leukemia Receiving Induction or Consolidation Chemotherapy</w:t>
      </w:r>
    </w:p>
    <w:p w14:paraId="74A31530" w14:textId="6534E51C" w:rsidR="00197C80" w:rsidRDefault="00197C80" w:rsidP="009C39AF">
      <w:pPr>
        <w:pStyle w:val="BodyText"/>
        <w:widowControl w:val="0"/>
      </w:pPr>
      <w:proofErr w:type="spellStart"/>
      <w:r w:rsidRPr="009C39AF">
        <w:t>Nypozi</w:t>
      </w:r>
      <w:proofErr w:type="spellEnd"/>
      <w:r w:rsidRPr="009C39AF">
        <w:t xml:space="preserve"> is indicated for reducing the time to neutrophil recovery and the duration of fever, following induction or consolidation chemotherapy treatment of patients with acute myeloid leukemia (AML).</w:t>
      </w:r>
    </w:p>
    <w:p w14:paraId="2F70BB30" w14:textId="3946506B" w:rsidR="00197C80" w:rsidRPr="000F7887" w:rsidRDefault="00197C80" w:rsidP="009C39AF">
      <w:pPr>
        <w:pStyle w:val="Heading5"/>
        <w:keepNext w:val="0"/>
        <w:keepLines w:val="0"/>
        <w:widowControl w:val="0"/>
      </w:pPr>
      <w:r w:rsidRPr="000F7887">
        <w:t>Patients with Cancer Undergoing Bone Marrow Transplantation</w:t>
      </w:r>
    </w:p>
    <w:p w14:paraId="69374B9A" w14:textId="5987EC44" w:rsidR="00197C80" w:rsidRDefault="00197C80" w:rsidP="009C39AF">
      <w:pPr>
        <w:pStyle w:val="BodyText"/>
        <w:widowControl w:val="0"/>
      </w:pPr>
      <w:proofErr w:type="spellStart"/>
      <w:r>
        <w:t>Nypozi</w:t>
      </w:r>
      <w:proofErr w:type="spellEnd"/>
      <w:r>
        <w:t xml:space="preserve"> is indicated to reduce the duration of neutropenia and neutropenia-related clinical sequelae‚ (e.g., febrile neutropenia) in patients with non-myeloid malignancies undergoing myeloablative chemotherapy followed by marrow transplantation.</w:t>
      </w:r>
    </w:p>
    <w:p w14:paraId="095C3D1F" w14:textId="6DDD33BB" w:rsidR="00197C80" w:rsidRDefault="00197C80" w:rsidP="009C39AF">
      <w:pPr>
        <w:pStyle w:val="Heading5"/>
      </w:pPr>
      <w:r>
        <w:t xml:space="preserve">Patients Undergoing Autologous Peripheral Blood Progenitor Cell Collection and Therapy  </w:t>
      </w:r>
    </w:p>
    <w:p w14:paraId="7B3147DA" w14:textId="2FE39992" w:rsidR="00197C80" w:rsidRDefault="00197C80" w:rsidP="009C39AF">
      <w:pPr>
        <w:pStyle w:val="BodyText"/>
        <w:widowControl w:val="0"/>
      </w:pPr>
      <w:proofErr w:type="spellStart"/>
      <w:r>
        <w:t>Nypozi</w:t>
      </w:r>
      <w:proofErr w:type="spellEnd"/>
      <w:r>
        <w:t xml:space="preserve"> is indicated for the mobilization of autologous hematopoietic progenitor cells into the peripheral blood for collection by leukapheresis. </w:t>
      </w:r>
    </w:p>
    <w:p w14:paraId="2C9E6FBB" w14:textId="1B612318" w:rsidR="00197C80" w:rsidRDefault="00197C80" w:rsidP="009C39AF">
      <w:pPr>
        <w:pStyle w:val="Heading5"/>
      </w:pPr>
      <w:r>
        <w:t>Patients With Severe Chronic Neutropenia</w:t>
      </w:r>
    </w:p>
    <w:p w14:paraId="594DC06E" w14:textId="4E7FCCE9" w:rsidR="00197C80" w:rsidRDefault="00197C80" w:rsidP="009C39AF">
      <w:pPr>
        <w:pStyle w:val="BodyText"/>
        <w:widowControl w:val="0"/>
      </w:pPr>
      <w:proofErr w:type="spellStart"/>
      <w:r>
        <w:t>Nypozi</w:t>
      </w:r>
      <w:proofErr w:type="spellEnd"/>
      <w:r>
        <w:t xml:space="preserve"> is indicated for chronic administration to reduce the incidence and duration of sequelae of neutropenia (</w:t>
      </w:r>
      <w:proofErr w:type="gramStart"/>
      <w:r>
        <w:t>e.g.</w:t>
      </w:r>
      <w:proofErr w:type="gramEnd"/>
      <w:r>
        <w:t>‚ fever‚ infections‚ oropharyngeal ulcers) in symptomatic patients with congenital neutropenia‚ cyclic neutropenia‚ or idiopathic neutropenia.</w:t>
      </w:r>
    </w:p>
    <w:p w14:paraId="16DC2D55" w14:textId="6A94641A" w:rsidR="00197C80" w:rsidRDefault="00197C80" w:rsidP="009C39AF">
      <w:pPr>
        <w:pStyle w:val="Heading5"/>
      </w:pPr>
      <w:r>
        <w:t>Patients Acutely Exposed to Myelosuppressive Doses of Radiation (Hematopoietic Syndrome of Acute Radiation Syndrome)</w:t>
      </w:r>
    </w:p>
    <w:p w14:paraId="1149C96B" w14:textId="17C3C28A" w:rsidR="00197C80" w:rsidRDefault="00197C80" w:rsidP="009C39AF">
      <w:pPr>
        <w:pStyle w:val="BodyText"/>
        <w:widowControl w:val="0"/>
      </w:pPr>
      <w:proofErr w:type="spellStart"/>
      <w:r>
        <w:t>Nypozi</w:t>
      </w:r>
      <w:proofErr w:type="spellEnd"/>
      <w:r>
        <w:t xml:space="preserve"> is indicated to increase survival in patients acutely exposed to myelosuppressive doses of radiation.</w:t>
      </w:r>
    </w:p>
    <w:p w14:paraId="75AFA256" w14:textId="26E30EBD" w:rsidR="009911F9" w:rsidRPr="00E86F13" w:rsidRDefault="009911F9" w:rsidP="009911F9">
      <w:pPr>
        <w:pStyle w:val="Heading3"/>
      </w:pPr>
      <w:r w:rsidRPr="008D1D8B">
        <w:t>Compendial Uses</w:t>
      </w:r>
    </w:p>
    <w:p w14:paraId="6DF3B221" w14:textId="77777777" w:rsidR="009911F9" w:rsidRPr="009911F9" w:rsidRDefault="009911F9" w:rsidP="009911F9">
      <w:pPr>
        <w:pStyle w:val="ListParagraph"/>
      </w:pPr>
      <w:r w:rsidRPr="009911F9">
        <w:t>Treatment of chemotherapy-induced febrile neutropenia</w:t>
      </w:r>
    </w:p>
    <w:p w14:paraId="3905839D" w14:textId="77777777" w:rsidR="009911F9" w:rsidRPr="009911F9" w:rsidRDefault="009911F9" w:rsidP="009911F9">
      <w:pPr>
        <w:pStyle w:val="ListParagraph"/>
      </w:pPr>
      <w:r w:rsidRPr="009911F9">
        <w:t>Prophylaxis for chemotherapy-induced febrile neutropenia in patients with solid tumors</w:t>
      </w:r>
    </w:p>
    <w:p w14:paraId="2396FFF8" w14:textId="7B068656" w:rsidR="009911F9" w:rsidRPr="009911F9" w:rsidRDefault="009911F9" w:rsidP="009911F9">
      <w:pPr>
        <w:pStyle w:val="ListParagraph"/>
      </w:pPr>
      <w:r w:rsidRPr="009911F9">
        <w:t>Treatment of anemia and neutropenia in patients with myelodysplastic syndromes (MDS)</w:t>
      </w:r>
    </w:p>
    <w:p w14:paraId="72E69014" w14:textId="77777777" w:rsidR="009911F9" w:rsidRPr="009911F9" w:rsidRDefault="009911F9" w:rsidP="009911F9">
      <w:pPr>
        <w:pStyle w:val="ListParagraph"/>
      </w:pPr>
      <w:r w:rsidRPr="009911F9">
        <w:lastRenderedPageBreak/>
        <w:t>Stem cell transplantation-related indications</w:t>
      </w:r>
    </w:p>
    <w:p w14:paraId="123237F2" w14:textId="77777777" w:rsidR="009911F9" w:rsidRPr="009911F9" w:rsidRDefault="009911F9" w:rsidP="009911F9">
      <w:pPr>
        <w:pStyle w:val="ListParagraph"/>
      </w:pPr>
      <w:r w:rsidRPr="009911F9">
        <w:t>Agranulocytosis (non-chemotherapy drug induced)</w:t>
      </w:r>
    </w:p>
    <w:p w14:paraId="2B98E8F3" w14:textId="445C9AE3" w:rsidR="009911F9" w:rsidRPr="009911F9" w:rsidRDefault="009911F9" w:rsidP="009911F9">
      <w:pPr>
        <w:pStyle w:val="ListParagraph"/>
      </w:pPr>
      <w:r w:rsidRPr="009911F9">
        <w:t>Aplastic anemia</w:t>
      </w:r>
    </w:p>
    <w:p w14:paraId="242D884C" w14:textId="2FAEC3DE" w:rsidR="009911F9" w:rsidRPr="009911F9" w:rsidRDefault="009911F9" w:rsidP="009911F9">
      <w:pPr>
        <w:pStyle w:val="ListParagraph"/>
      </w:pPr>
      <w:r w:rsidRPr="009911F9">
        <w:t>Neutropenia related to HIV/AIDS</w:t>
      </w:r>
    </w:p>
    <w:p w14:paraId="01D2932C" w14:textId="7C5DA0B2" w:rsidR="009911F9" w:rsidRPr="009911F9" w:rsidRDefault="009911F9" w:rsidP="009911F9">
      <w:pPr>
        <w:pStyle w:val="ListParagraph"/>
      </w:pPr>
      <w:r w:rsidRPr="009911F9">
        <w:t xml:space="preserve">Neutropenia related to renal </w:t>
      </w:r>
      <w:proofErr w:type="gramStart"/>
      <w:r w:rsidRPr="009911F9">
        <w:t>transplantation</w:t>
      </w:r>
      <w:proofErr w:type="gramEnd"/>
    </w:p>
    <w:p w14:paraId="06649E02" w14:textId="77777777" w:rsidR="009911F9" w:rsidRPr="009911F9" w:rsidRDefault="009911F9" w:rsidP="009911F9">
      <w:pPr>
        <w:pStyle w:val="ListParagraph"/>
      </w:pPr>
      <w:r w:rsidRPr="009911F9">
        <w:t>Acute myeloid leukemia</w:t>
      </w:r>
    </w:p>
    <w:p w14:paraId="5D0E6DD9" w14:textId="77777777" w:rsidR="009911F9" w:rsidRPr="009911F9" w:rsidRDefault="009911F9" w:rsidP="009911F9">
      <w:pPr>
        <w:pStyle w:val="ListParagraph"/>
      </w:pPr>
      <w:r w:rsidRPr="009911F9">
        <w:t>Supportive care for neutropenic patients with CAR T-cell-related toxicities</w:t>
      </w:r>
    </w:p>
    <w:p w14:paraId="0D98F45E" w14:textId="77777777" w:rsidR="009911F9" w:rsidRPr="009911F9" w:rsidRDefault="009911F9" w:rsidP="009911F9">
      <w:pPr>
        <w:pStyle w:val="ListParagraph"/>
      </w:pPr>
      <w:r w:rsidRPr="009911F9">
        <w:t>Hairy Cell Leukemia, neutropenic fever</w:t>
      </w:r>
    </w:p>
    <w:p w14:paraId="3FE37CD6" w14:textId="77777777" w:rsidR="009911F9" w:rsidRPr="009911F9" w:rsidRDefault="009911F9" w:rsidP="009911F9">
      <w:pPr>
        <w:pStyle w:val="ListParagraph"/>
      </w:pPr>
      <w:r w:rsidRPr="009911F9">
        <w:t>Chronic Myeloid Leukemia, treatment of persistent neutropenia due to tyrosine kinase inhibitor therapy</w:t>
      </w:r>
    </w:p>
    <w:p w14:paraId="1538EA8C" w14:textId="5E9CE779" w:rsidR="009911F9" w:rsidRPr="009911F9" w:rsidRDefault="009911F9" w:rsidP="009911F9">
      <w:pPr>
        <w:pStyle w:val="ListParagraph"/>
      </w:pPr>
      <w:r w:rsidRPr="009911F9">
        <w:t>Glycogen Storage Disease (GSD) Type 1</w:t>
      </w:r>
    </w:p>
    <w:p w14:paraId="3BA6F8E3" w14:textId="77777777" w:rsidR="009911F9" w:rsidRPr="008D1D8B" w:rsidRDefault="009911F9" w:rsidP="009911F9">
      <w:pPr>
        <w:pStyle w:val="BodyText"/>
      </w:pPr>
      <w:r w:rsidRPr="008D1D8B">
        <w:t xml:space="preserve">All other indications are considered experimental/investigational and not </w:t>
      </w:r>
      <w:r>
        <w:t>medically necessary</w:t>
      </w:r>
      <w:r w:rsidRPr="008D1D8B">
        <w:t>.</w:t>
      </w:r>
    </w:p>
    <w:p w14:paraId="36381B6D" w14:textId="08384AAD" w:rsidR="000D2496" w:rsidRPr="00BD1CC1" w:rsidRDefault="000D2496" w:rsidP="000D2496">
      <w:pPr>
        <w:pStyle w:val="Heading2"/>
      </w:pPr>
      <w:r w:rsidRPr="00BD1CC1">
        <w:t>Documentation</w:t>
      </w:r>
    </w:p>
    <w:p w14:paraId="7797854D" w14:textId="77777777" w:rsidR="009911F9" w:rsidRPr="008D6894" w:rsidRDefault="009911F9" w:rsidP="009911F9">
      <w:pPr>
        <w:pStyle w:val="Heading3"/>
      </w:pPr>
      <w:r w:rsidRPr="008D6894">
        <w:t>Primary Prophylaxis of Febrile Neutropenia</w:t>
      </w:r>
    </w:p>
    <w:p w14:paraId="0AE1C227" w14:textId="77777777" w:rsidR="009911F9" w:rsidRPr="009911F9" w:rsidRDefault="009911F9" w:rsidP="009911F9">
      <w:pPr>
        <w:pStyle w:val="ListParagraph"/>
      </w:pPr>
      <w:r w:rsidRPr="009911F9">
        <w:t>Documentation must be provided of the member’s diagnosis and chemotherapeutic regimen.</w:t>
      </w:r>
    </w:p>
    <w:p w14:paraId="11E20A4B" w14:textId="25C2F467" w:rsidR="009911F9" w:rsidRPr="009911F9" w:rsidRDefault="009911F9" w:rsidP="009911F9">
      <w:pPr>
        <w:pStyle w:val="ListParagraph"/>
      </w:pPr>
      <w:r w:rsidRPr="009911F9">
        <w:t>If chemotherapeutic regimen has a low or intermediate risk of febrile neutropenia (less than 20%), documentation must be provided outlining the member’s risk factors that confirm the member is at high risk for febrile neutropenia.</w:t>
      </w:r>
    </w:p>
    <w:p w14:paraId="50A38FBA" w14:textId="3B3CBA4F" w:rsidR="00FE0C63" w:rsidRPr="00100B91" w:rsidRDefault="00685107" w:rsidP="0027111F">
      <w:pPr>
        <w:pStyle w:val="Heading2"/>
        <w:keepNext w:val="0"/>
        <w:widowControl w:val="0"/>
      </w:pPr>
      <w:r>
        <w:t>Coverage Criteria</w:t>
      </w:r>
    </w:p>
    <w:p w14:paraId="3E4DDE23" w14:textId="26676897" w:rsidR="009911F9" w:rsidRPr="009911F9" w:rsidRDefault="009911F9" w:rsidP="0027111F">
      <w:pPr>
        <w:pStyle w:val="Heading3"/>
        <w:widowControl w:val="0"/>
      </w:pPr>
      <w:r w:rsidRPr="00251030">
        <w:t>Neutropenia</w:t>
      </w:r>
      <w:r w:rsidRPr="00C73AF6">
        <w:t xml:space="preserve"> </w:t>
      </w:r>
      <w:r>
        <w:t>i</w:t>
      </w:r>
      <w:r w:rsidRPr="00C73AF6">
        <w:t xml:space="preserve">n </w:t>
      </w:r>
      <w:r>
        <w:t>c</w:t>
      </w:r>
      <w:r w:rsidRPr="00C73AF6">
        <w:t xml:space="preserve">ancer </w:t>
      </w:r>
      <w:r>
        <w:t>p</w:t>
      </w:r>
      <w:r w:rsidRPr="00C73AF6">
        <w:t xml:space="preserve">atients </w:t>
      </w:r>
      <w:r>
        <w:t>r</w:t>
      </w:r>
      <w:r w:rsidRPr="00C73AF6">
        <w:t xml:space="preserve">eceiving </w:t>
      </w:r>
      <w:r>
        <w:t>m</w:t>
      </w:r>
      <w:r w:rsidRPr="00C73AF6">
        <w:t xml:space="preserve">yelosuppressive </w:t>
      </w:r>
      <w:proofErr w:type="gramStart"/>
      <w:r w:rsidRPr="009911F9">
        <w:t>chemotherapy</w:t>
      </w:r>
      <w:proofErr w:type="gramEnd"/>
    </w:p>
    <w:p w14:paraId="3A7C4589" w14:textId="44690644" w:rsidR="009911F9" w:rsidRPr="00F360C8" w:rsidRDefault="009911F9" w:rsidP="0027111F">
      <w:pPr>
        <w:pStyle w:val="BodyText"/>
        <w:widowControl w:val="0"/>
      </w:pPr>
      <w:r w:rsidRPr="00831F62">
        <w:t xml:space="preserve">Authorization of 6 months may be granted for prevention or treatment of febrile neutropenia </w:t>
      </w:r>
      <w:r w:rsidRPr="00487A86">
        <w:t xml:space="preserve">when all of the following criteria are </w:t>
      </w:r>
      <w:proofErr w:type="gramStart"/>
      <w:r w:rsidRPr="00487A86">
        <w:t xml:space="preserve">met </w:t>
      </w:r>
      <w:r w:rsidRPr="00F360C8">
        <w:t>:</w:t>
      </w:r>
      <w:proofErr w:type="gramEnd"/>
    </w:p>
    <w:p w14:paraId="4C84748E" w14:textId="77777777" w:rsidR="009911F9" w:rsidRPr="009911F9" w:rsidRDefault="009911F9" w:rsidP="00916CD4">
      <w:pPr>
        <w:pStyle w:val="ListParagraph"/>
        <w:numPr>
          <w:ilvl w:val="0"/>
          <w:numId w:val="21"/>
        </w:numPr>
      </w:pPr>
      <w:r w:rsidRPr="009911F9">
        <w:t>The requested medication will not be used in combination with other colony stimulating factors within any chemotherapy cycle.</w:t>
      </w:r>
    </w:p>
    <w:p w14:paraId="107858FC" w14:textId="77777777" w:rsidR="009911F9" w:rsidRPr="009911F9" w:rsidRDefault="009911F9" w:rsidP="00916CD4">
      <w:pPr>
        <w:pStyle w:val="ListParagraph"/>
        <w:numPr>
          <w:ilvl w:val="0"/>
          <w:numId w:val="21"/>
        </w:numPr>
      </w:pPr>
      <w:r w:rsidRPr="009911F9">
        <w:t>The member will not receive chemotherapy at the same time as they receive radiation therapy.</w:t>
      </w:r>
    </w:p>
    <w:p w14:paraId="73FA7683" w14:textId="18501921" w:rsidR="009911F9" w:rsidRPr="009911F9" w:rsidRDefault="009911F9" w:rsidP="00916CD4">
      <w:pPr>
        <w:pStyle w:val="ListParagraph"/>
        <w:numPr>
          <w:ilvl w:val="0"/>
          <w:numId w:val="21"/>
        </w:numPr>
      </w:pPr>
      <w:r w:rsidRPr="009911F9">
        <w:t xml:space="preserve">One of the following criteria is </w:t>
      </w:r>
      <w:proofErr w:type="gramStart"/>
      <w:r w:rsidRPr="009911F9">
        <w:t>met :</w:t>
      </w:r>
      <w:proofErr w:type="gramEnd"/>
    </w:p>
    <w:p w14:paraId="6AA17DEB" w14:textId="77777777" w:rsidR="009911F9" w:rsidRPr="009911F9" w:rsidRDefault="009911F9" w:rsidP="00916CD4">
      <w:pPr>
        <w:pStyle w:val="ListParagraph"/>
        <w:numPr>
          <w:ilvl w:val="1"/>
          <w:numId w:val="22"/>
        </w:numPr>
      </w:pPr>
      <w:r w:rsidRPr="009911F9">
        <w:t>The requested medication will be used for primary prophylaxis in members with solid tumors or non-myeloid malignancies who have received, are currently receiving, or will be receiving any of the following:</w:t>
      </w:r>
    </w:p>
    <w:p w14:paraId="506883CD" w14:textId="77777777" w:rsidR="009911F9" w:rsidRPr="009911F9" w:rsidRDefault="009911F9" w:rsidP="00916CD4">
      <w:pPr>
        <w:pStyle w:val="ListParagraph"/>
        <w:numPr>
          <w:ilvl w:val="2"/>
          <w:numId w:val="23"/>
        </w:numPr>
      </w:pPr>
      <w:r w:rsidRPr="009911F9">
        <w:lastRenderedPageBreak/>
        <w:t>Myelosuppressive anti-cancer therapy that is expected to result in 20% or higher incidence of FN (febrile neutropenia) (FN) (</w:t>
      </w:r>
      <w:r w:rsidRPr="004821DF">
        <w:rPr>
          <w:i/>
          <w:iCs/>
        </w:rPr>
        <w:t>See Appendix A</w:t>
      </w:r>
      <w:r w:rsidRPr="009911F9">
        <w:t>)</w:t>
      </w:r>
    </w:p>
    <w:p w14:paraId="54952ABC" w14:textId="77777777" w:rsidR="009911F9" w:rsidRPr="009911F9" w:rsidRDefault="009911F9" w:rsidP="00916CD4">
      <w:pPr>
        <w:pStyle w:val="ListParagraph"/>
        <w:numPr>
          <w:ilvl w:val="2"/>
          <w:numId w:val="23"/>
        </w:numPr>
      </w:pPr>
      <w:r w:rsidRPr="009911F9">
        <w:t>Myelosuppressive anti-cancer therapy that is expected to result in 10 – 19% risk of FN (</w:t>
      </w:r>
      <w:r w:rsidRPr="004821DF">
        <w:rPr>
          <w:i/>
          <w:iCs/>
        </w:rPr>
        <w:t>See Appendix B</w:t>
      </w:r>
      <w:r w:rsidRPr="009911F9">
        <w:t xml:space="preserve">) and who </w:t>
      </w:r>
      <w:proofErr w:type="gramStart"/>
      <w:r w:rsidRPr="009911F9">
        <w:t>are considered to be</w:t>
      </w:r>
      <w:proofErr w:type="gramEnd"/>
      <w:r w:rsidRPr="009911F9">
        <w:t xml:space="preserve"> at high risk of FN because of bone marrow compromise or co-morbidities, or other patient specific risk factors (</w:t>
      </w:r>
      <w:r w:rsidRPr="004821DF">
        <w:rPr>
          <w:i/>
          <w:iCs/>
        </w:rPr>
        <w:t>See Appendix C</w:t>
      </w:r>
      <w:r w:rsidRPr="009911F9">
        <w:t>).</w:t>
      </w:r>
    </w:p>
    <w:p w14:paraId="79955146" w14:textId="77777777" w:rsidR="009911F9" w:rsidRPr="009911F9" w:rsidRDefault="009911F9" w:rsidP="00916CD4">
      <w:pPr>
        <w:pStyle w:val="ListParagraph"/>
        <w:numPr>
          <w:ilvl w:val="2"/>
          <w:numId w:val="23"/>
        </w:numPr>
      </w:pPr>
      <w:r w:rsidRPr="009911F9">
        <w:t>Myelosuppressive anti-cancer therapy that is expected to result in less than 10% risk of FN and who have at least 2 patient-related risk factors (</w:t>
      </w:r>
      <w:r w:rsidRPr="004821DF">
        <w:rPr>
          <w:i/>
          <w:iCs/>
        </w:rPr>
        <w:t>See Appendix C</w:t>
      </w:r>
      <w:r w:rsidRPr="009911F9">
        <w:t>).</w:t>
      </w:r>
    </w:p>
    <w:p w14:paraId="705BE89B" w14:textId="77777777" w:rsidR="009911F9" w:rsidRPr="009911F9" w:rsidRDefault="009911F9" w:rsidP="00916CD4">
      <w:pPr>
        <w:pStyle w:val="ListParagraph"/>
        <w:numPr>
          <w:ilvl w:val="1"/>
          <w:numId w:val="22"/>
        </w:numPr>
      </w:pPr>
      <w:r w:rsidRPr="009911F9">
        <w:t>The requested medication will be used for secondary prophylaxis in members with solid tumors or non-myeloid malignancies who experienced a febrile neutropenic complication or a dose-limiting neutropenic event (a nadir or day of treatment count impacting the planned dose of chemotherapy) from a prior cycle of similar chemotherapy, with the same dose and schedule planned for the current cycle (for which primary prophylaxis was not received)</w:t>
      </w:r>
    </w:p>
    <w:p w14:paraId="10F77E05" w14:textId="77777777" w:rsidR="009911F9" w:rsidRPr="009911F9" w:rsidRDefault="009911F9" w:rsidP="00916CD4">
      <w:pPr>
        <w:pStyle w:val="ListParagraph"/>
        <w:numPr>
          <w:ilvl w:val="1"/>
          <w:numId w:val="22"/>
        </w:numPr>
      </w:pPr>
      <w:r w:rsidRPr="009911F9">
        <w:t xml:space="preserve">The requested medication will be used for treatment of </w:t>
      </w:r>
      <w:proofErr w:type="gramStart"/>
      <w:r w:rsidRPr="009911F9">
        <w:t>high risk</w:t>
      </w:r>
      <w:proofErr w:type="gramEnd"/>
      <w:r w:rsidRPr="009911F9">
        <w:t xml:space="preserve"> FN in members who have any of the following prognostic factors that are predictive of clinical deterioration:</w:t>
      </w:r>
    </w:p>
    <w:p w14:paraId="01AA351A" w14:textId="53E0B2BF" w:rsidR="009911F9" w:rsidRPr="009911F9" w:rsidRDefault="009911F9" w:rsidP="00916CD4">
      <w:pPr>
        <w:pStyle w:val="ListParagraph"/>
        <w:numPr>
          <w:ilvl w:val="2"/>
          <w:numId w:val="24"/>
        </w:numPr>
      </w:pPr>
      <w:r w:rsidRPr="009911F9">
        <w:t>Age greater than 65 years</w:t>
      </w:r>
    </w:p>
    <w:p w14:paraId="79C3CB28" w14:textId="77777777" w:rsidR="009911F9" w:rsidRPr="009911F9" w:rsidRDefault="009911F9" w:rsidP="00916CD4">
      <w:pPr>
        <w:pStyle w:val="ListParagraph"/>
        <w:numPr>
          <w:ilvl w:val="2"/>
          <w:numId w:val="24"/>
        </w:numPr>
      </w:pPr>
      <w:r w:rsidRPr="009911F9">
        <w:t>Being hospitalized at the time of the development of fever</w:t>
      </w:r>
    </w:p>
    <w:p w14:paraId="6755BDE2" w14:textId="4A83BAB9" w:rsidR="009911F9" w:rsidRPr="009911F9" w:rsidRDefault="009911F9" w:rsidP="00916CD4">
      <w:pPr>
        <w:pStyle w:val="ListParagraph"/>
        <w:numPr>
          <w:ilvl w:val="2"/>
          <w:numId w:val="24"/>
        </w:numPr>
      </w:pPr>
      <w:r w:rsidRPr="009911F9">
        <w:t>Sepsis syndrome</w:t>
      </w:r>
    </w:p>
    <w:p w14:paraId="5F627253" w14:textId="77777777" w:rsidR="009911F9" w:rsidRPr="009911F9" w:rsidRDefault="009911F9" w:rsidP="00916CD4">
      <w:pPr>
        <w:pStyle w:val="ListParagraph"/>
        <w:numPr>
          <w:ilvl w:val="2"/>
          <w:numId w:val="24"/>
        </w:numPr>
      </w:pPr>
      <w:r w:rsidRPr="009911F9">
        <w:t>Invasive fungal infection</w:t>
      </w:r>
    </w:p>
    <w:p w14:paraId="5EC8B138" w14:textId="77777777" w:rsidR="009911F9" w:rsidRPr="009911F9" w:rsidRDefault="009911F9" w:rsidP="00916CD4">
      <w:pPr>
        <w:pStyle w:val="ListParagraph"/>
        <w:numPr>
          <w:ilvl w:val="2"/>
          <w:numId w:val="24"/>
        </w:numPr>
      </w:pPr>
      <w:r w:rsidRPr="009911F9">
        <w:t>Pneumonia or other clinically documented infection</w:t>
      </w:r>
    </w:p>
    <w:p w14:paraId="54438DBB" w14:textId="77777777" w:rsidR="009911F9" w:rsidRPr="009911F9" w:rsidRDefault="009911F9" w:rsidP="00916CD4">
      <w:pPr>
        <w:pStyle w:val="ListParagraph"/>
        <w:numPr>
          <w:ilvl w:val="2"/>
          <w:numId w:val="24"/>
        </w:numPr>
      </w:pPr>
      <w:r w:rsidRPr="009911F9">
        <w:t>Prolonged (neutropenia expected to last greater than 10 days) or profound (absolute neutrophil count less than 1 x 10</w:t>
      </w:r>
      <w:r w:rsidRPr="00C241A8">
        <w:rPr>
          <w:vertAlign w:val="superscript"/>
        </w:rPr>
        <w:t>9</w:t>
      </w:r>
      <w:r w:rsidRPr="009911F9">
        <w:t xml:space="preserve">/L) </w:t>
      </w:r>
      <w:proofErr w:type="gramStart"/>
      <w:r w:rsidRPr="009911F9">
        <w:t>neutropenia</w:t>
      </w:r>
      <w:proofErr w:type="gramEnd"/>
    </w:p>
    <w:p w14:paraId="3EA11759" w14:textId="6E362638" w:rsidR="009911F9" w:rsidRPr="009911F9" w:rsidRDefault="009911F9" w:rsidP="00916CD4">
      <w:pPr>
        <w:pStyle w:val="ListParagraph"/>
        <w:numPr>
          <w:ilvl w:val="2"/>
          <w:numId w:val="24"/>
        </w:numPr>
      </w:pPr>
      <w:r w:rsidRPr="009911F9">
        <w:t>Prior episodes of febrile neutropenia</w:t>
      </w:r>
    </w:p>
    <w:p w14:paraId="1C1B526A" w14:textId="2E3107D9" w:rsidR="009911F9" w:rsidRPr="009911F9" w:rsidRDefault="009911F9" w:rsidP="009911F9">
      <w:pPr>
        <w:pStyle w:val="Heading3"/>
      </w:pPr>
      <w:r w:rsidRPr="009911F9">
        <w:t>Other indications</w:t>
      </w:r>
    </w:p>
    <w:p w14:paraId="5F35739D" w14:textId="2E653492" w:rsidR="009911F9" w:rsidRPr="00584141" w:rsidRDefault="009911F9" w:rsidP="009911F9">
      <w:pPr>
        <w:pStyle w:val="BodyText"/>
      </w:pPr>
      <w:r w:rsidRPr="00FE0AB2">
        <w:t>Authorization of 6 months may be granted for members with any of the following indications:</w:t>
      </w:r>
    </w:p>
    <w:p w14:paraId="20A13656" w14:textId="77777777" w:rsidR="009911F9" w:rsidRPr="003546D2" w:rsidRDefault="009911F9" w:rsidP="00916CD4">
      <w:pPr>
        <w:pStyle w:val="ListParagraph"/>
        <w:numPr>
          <w:ilvl w:val="0"/>
          <w:numId w:val="25"/>
        </w:numPr>
      </w:pPr>
      <w:r w:rsidRPr="003546D2">
        <w:t>Myelodysplastic syndrome (anemia or neutropenia)</w:t>
      </w:r>
    </w:p>
    <w:p w14:paraId="63AE5516" w14:textId="77777777" w:rsidR="009911F9" w:rsidRPr="003546D2" w:rsidRDefault="009911F9" w:rsidP="00916CD4">
      <w:pPr>
        <w:pStyle w:val="ListParagraph"/>
        <w:numPr>
          <w:ilvl w:val="0"/>
          <w:numId w:val="25"/>
        </w:numPr>
      </w:pPr>
      <w:r w:rsidRPr="003546D2">
        <w:t>Stem cell transplantation-related indications (including applicable gene therapy protocols)</w:t>
      </w:r>
    </w:p>
    <w:p w14:paraId="320310A6" w14:textId="77777777" w:rsidR="009911F9" w:rsidRPr="003546D2" w:rsidRDefault="009911F9" w:rsidP="00916CD4">
      <w:pPr>
        <w:pStyle w:val="ListParagraph"/>
        <w:numPr>
          <w:ilvl w:val="0"/>
          <w:numId w:val="25"/>
        </w:numPr>
      </w:pPr>
      <w:r w:rsidRPr="003546D2">
        <w:t>Agranulocytosis (non-chemotherapy drug induced)</w:t>
      </w:r>
    </w:p>
    <w:p w14:paraId="3AA27A1C" w14:textId="77777777" w:rsidR="009911F9" w:rsidRPr="003546D2" w:rsidRDefault="009911F9" w:rsidP="00916CD4">
      <w:pPr>
        <w:pStyle w:val="ListParagraph"/>
        <w:numPr>
          <w:ilvl w:val="0"/>
          <w:numId w:val="25"/>
        </w:numPr>
      </w:pPr>
      <w:r w:rsidRPr="003546D2">
        <w:t>Aplastic anemia</w:t>
      </w:r>
    </w:p>
    <w:p w14:paraId="06335ACB" w14:textId="15281EDB" w:rsidR="009911F9" w:rsidRPr="003546D2" w:rsidRDefault="009911F9" w:rsidP="00916CD4">
      <w:pPr>
        <w:pStyle w:val="ListParagraph"/>
        <w:numPr>
          <w:ilvl w:val="0"/>
          <w:numId w:val="25"/>
        </w:numPr>
      </w:pPr>
      <w:r w:rsidRPr="003546D2">
        <w:t>Neutropenia related to HIV/AIDS</w:t>
      </w:r>
    </w:p>
    <w:p w14:paraId="7B2ED052" w14:textId="77777777" w:rsidR="009911F9" w:rsidRPr="003546D2" w:rsidRDefault="009911F9" w:rsidP="00916CD4">
      <w:pPr>
        <w:pStyle w:val="ListParagraph"/>
        <w:numPr>
          <w:ilvl w:val="0"/>
          <w:numId w:val="25"/>
        </w:numPr>
      </w:pPr>
      <w:r w:rsidRPr="003546D2">
        <w:t xml:space="preserve">Neutropenia related to renal </w:t>
      </w:r>
      <w:proofErr w:type="gramStart"/>
      <w:r w:rsidRPr="003546D2">
        <w:t>transplantation</w:t>
      </w:r>
      <w:proofErr w:type="gramEnd"/>
    </w:p>
    <w:p w14:paraId="4DFACAEE" w14:textId="77777777" w:rsidR="009911F9" w:rsidRPr="003546D2" w:rsidRDefault="009911F9" w:rsidP="00916CD4">
      <w:pPr>
        <w:pStyle w:val="ListParagraph"/>
        <w:numPr>
          <w:ilvl w:val="0"/>
          <w:numId w:val="25"/>
        </w:numPr>
      </w:pPr>
      <w:r w:rsidRPr="003546D2">
        <w:t>Acute myeloid leukemia</w:t>
      </w:r>
    </w:p>
    <w:p w14:paraId="2947F117" w14:textId="77777777" w:rsidR="009911F9" w:rsidRPr="003546D2" w:rsidRDefault="009911F9" w:rsidP="00916CD4">
      <w:pPr>
        <w:pStyle w:val="ListParagraph"/>
        <w:numPr>
          <w:ilvl w:val="0"/>
          <w:numId w:val="25"/>
        </w:numPr>
      </w:pPr>
      <w:r w:rsidRPr="003546D2">
        <w:t>Severe chronic neutropenia (congenital, cyclic, or idiopathic)</w:t>
      </w:r>
    </w:p>
    <w:p w14:paraId="305DC896" w14:textId="738EA120" w:rsidR="009911F9" w:rsidRPr="003546D2" w:rsidRDefault="009911F9" w:rsidP="00916CD4">
      <w:pPr>
        <w:pStyle w:val="ListParagraph"/>
        <w:numPr>
          <w:ilvl w:val="0"/>
          <w:numId w:val="25"/>
        </w:numPr>
      </w:pPr>
      <w:r w:rsidRPr="003546D2">
        <w:t>Hematopoietic Syndrome of Acute Radiation Syndrome</w:t>
      </w:r>
      <w:r w:rsidR="003546D2">
        <w:br/>
      </w:r>
      <w:r w:rsidRPr="003546D2">
        <w:t>Treatment for radiation-induced myelosuppression following a radiological/nuclear incident</w:t>
      </w:r>
    </w:p>
    <w:p w14:paraId="244973B3" w14:textId="35DE7519" w:rsidR="009911F9" w:rsidRPr="003546D2" w:rsidRDefault="009911F9" w:rsidP="00916CD4">
      <w:pPr>
        <w:pStyle w:val="ListParagraph"/>
        <w:numPr>
          <w:ilvl w:val="0"/>
          <w:numId w:val="25"/>
        </w:numPr>
      </w:pPr>
      <w:r w:rsidRPr="003546D2">
        <w:t>CAR T-cell-related toxicities</w:t>
      </w:r>
      <w:r w:rsidR="003546D2">
        <w:br/>
      </w:r>
      <w:r w:rsidRPr="003546D2">
        <w:t>Supportive care for neutropenic patients with CAR T-cell-related toxicities</w:t>
      </w:r>
    </w:p>
    <w:p w14:paraId="30E858D2" w14:textId="77777777" w:rsidR="009911F9" w:rsidRPr="003546D2" w:rsidRDefault="009911F9" w:rsidP="00916CD4">
      <w:pPr>
        <w:pStyle w:val="ListParagraph"/>
        <w:numPr>
          <w:ilvl w:val="0"/>
          <w:numId w:val="25"/>
        </w:numPr>
      </w:pPr>
      <w:r w:rsidRPr="003546D2">
        <w:t>Hairy Cell Leukemia</w:t>
      </w:r>
      <w:r w:rsidRPr="003546D2">
        <w:br/>
        <w:t xml:space="preserve">Members with hairy cell leukemia with neutropenic fever following </w:t>
      </w:r>
      <w:proofErr w:type="gramStart"/>
      <w:r w:rsidRPr="003546D2">
        <w:t>chemotherapy</w:t>
      </w:r>
      <w:proofErr w:type="gramEnd"/>
    </w:p>
    <w:p w14:paraId="5CA42C01" w14:textId="77777777" w:rsidR="009911F9" w:rsidRPr="003546D2" w:rsidRDefault="009911F9" w:rsidP="00916CD4">
      <w:pPr>
        <w:pStyle w:val="ListParagraph"/>
        <w:numPr>
          <w:ilvl w:val="0"/>
          <w:numId w:val="25"/>
        </w:numPr>
      </w:pPr>
      <w:r w:rsidRPr="003546D2">
        <w:lastRenderedPageBreak/>
        <w:t>Chronic Myeloid Leukemia</w:t>
      </w:r>
      <w:r w:rsidRPr="003546D2">
        <w:br/>
        <w:t>Members with chronic myeloid leukemia (CML) for treatment of persistent neutropenia due to tyrosine kinase inhibitor therapy</w:t>
      </w:r>
    </w:p>
    <w:p w14:paraId="2699D5BD" w14:textId="5390C2FC" w:rsidR="009911F9" w:rsidRPr="003546D2" w:rsidRDefault="009911F9" w:rsidP="00916CD4">
      <w:pPr>
        <w:pStyle w:val="ListParagraph"/>
        <w:numPr>
          <w:ilvl w:val="0"/>
          <w:numId w:val="25"/>
        </w:numPr>
      </w:pPr>
      <w:r w:rsidRPr="003546D2">
        <w:t>Glycogen Storage Disease (GSD) Type 1</w:t>
      </w:r>
      <w:r w:rsidR="003546D2">
        <w:br/>
      </w:r>
      <w:r w:rsidRPr="003546D2">
        <w:t>Individuals with GSD Type 1 for treatment of low neutrophil counts</w:t>
      </w:r>
    </w:p>
    <w:p w14:paraId="3A643EC3" w14:textId="6FB3D1AB" w:rsidR="00A501AC" w:rsidRDefault="00A501AC" w:rsidP="00A501AC">
      <w:pPr>
        <w:pStyle w:val="Heading2"/>
      </w:pPr>
      <w:r w:rsidRPr="00BD1CC1">
        <w:t>Continuation of Therapy</w:t>
      </w:r>
    </w:p>
    <w:p w14:paraId="2AF707F8" w14:textId="77777777" w:rsidR="003546D2" w:rsidRDefault="003546D2" w:rsidP="003546D2">
      <w:pPr>
        <w:pStyle w:val="BodyText"/>
      </w:pPr>
      <w:r w:rsidRPr="008D1D8B">
        <w:t>All members (including new members) requesting authorization for continuation of therapy</w:t>
      </w:r>
      <w:r>
        <w:t xml:space="preserve"> must meet all</w:t>
      </w:r>
      <w:r w:rsidRPr="008D1D8B">
        <w:t xml:space="preserve"> </w:t>
      </w:r>
      <w:r>
        <w:t>requirements in the coverage</w:t>
      </w:r>
      <w:r w:rsidRPr="008D1D8B">
        <w:t xml:space="preserve"> criteria.</w:t>
      </w:r>
    </w:p>
    <w:p w14:paraId="6BCEA1FF" w14:textId="10AEA170" w:rsidR="001E34C8" w:rsidRPr="001E34C8" w:rsidRDefault="001E34C8" w:rsidP="001E34C8">
      <w:pPr>
        <w:pStyle w:val="Heading2"/>
        <w:rPr>
          <w:vertAlign w:val="superscript"/>
        </w:rPr>
      </w:pPr>
      <w:r>
        <w:t>Appendix</w:t>
      </w:r>
    </w:p>
    <w:p w14:paraId="65240810" w14:textId="0CBA8D62" w:rsidR="003546D2" w:rsidRPr="009B3B75" w:rsidRDefault="003546D2" w:rsidP="003546D2">
      <w:pPr>
        <w:pStyle w:val="Heading3"/>
        <w:rPr>
          <w:vertAlign w:val="superscript"/>
        </w:rPr>
      </w:pPr>
      <w:r w:rsidRPr="003546D2">
        <w:t>APPENDIX A: Selected Chemotherapy Regimens with an Incidence of Febrile Neutropenia of 20% or Higher</w:t>
      </w:r>
      <w:r w:rsidRPr="009B3B75">
        <w:rPr>
          <w:vertAlign w:val="superscript"/>
        </w:rPr>
        <w:t>†</w:t>
      </w:r>
    </w:p>
    <w:p w14:paraId="325632BE" w14:textId="77777777" w:rsidR="003546D2" w:rsidRPr="003546D2" w:rsidRDefault="003546D2" w:rsidP="003546D2">
      <w:pPr>
        <w:pStyle w:val="Heading4"/>
      </w:pPr>
      <w:r w:rsidRPr="003546D2">
        <w:t>Acute Lymphoblastic Leukemia:</w:t>
      </w:r>
    </w:p>
    <w:p w14:paraId="2FE57033" w14:textId="1673FF16" w:rsidR="003546D2" w:rsidRPr="00211F91" w:rsidRDefault="003546D2" w:rsidP="003546D2">
      <w:pPr>
        <w:pStyle w:val="BodyText"/>
        <w:rPr>
          <w:rStyle w:val="Strong"/>
          <w:rFonts w:ascii="Arial" w:hAnsi="Arial"/>
          <w:b w:val="0"/>
          <w:sz w:val="20"/>
          <w:szCs w:val="20"/>
        </w:rPr>
      </w:pPr>
      <w:r w:rsidRPr="00211F91">
        <w:t>Select ALL regimens as directed by treatment protocol (see NCCN guidelines</w:t>
      </w:r>
      <w:r>
        <w:t xml:space="preserve"> ALL</w:t>
      </w:r>
      <w:r w:rsidRPr="00211F91">
        <w:t>)</w:t>
      </w:r>
    </w:p>
    <w:p w14:paraId="100E31D1" w14:textId="77777777" w:rsidR="003546D2" w:rsidRPr="00C241A8" w:rsidRDefault="003546D2" w:rsidP="003546D2">
      <w:pPr>
        <w:pStyle w:val="Heading4"/>
        <w:rPr>
          <w:lang w:val="sv-SE"/>
        </w:rPr>
      </w:pPr>
      <w:r w:rsidRPr="00C241A8">
        <w:rPr>
          <w:lang w:val="sv-SE"/>
        </w:rPr>
        <w:t>Bladder Cancer:</w:t>
      </w:r>
    </w:p>
    <w:p w14:paraId="0B99D7E0" w14:textId="77777777" w:rsidR="003546D2" w:rsidRPr="00C241A8" w:rsidRDefault="003546D2" w:rsidP="003546D2">
      <w:pPr>
        <w:pStyle w:val="BodyText"/>
        <w:rPr>
          <w:lang w:val="sv-SE"/>
        </w:rPr>
      </w:pPr>
      <w:r w:rsidRPr="00C241A8">
        <w:rPr>
          <w:lang w:val="sv-SE"/>
        </w:rPr>
        <w:t>Dose dense MVAC (methotrexate, vinblastine, doxorubicin, cisplatin)</w:t>
      </w:r>
    </w:p>
    <w:p w14:paraId="27FB61A7" w14:textId="77777777" w:rsidR="003546D2" w:rsidRPr="003546D2" w:rsidRDefault="003546D2" w:rsidP="003546D2">
      <w:pPr>
        <w:pStyle w:val="Heading4"/>
      </w:pPr>
      <w:r w:rsidRPr="003546D2">
        <w:t>Bone Cancer</w:t>
      </w:r>
    </w:p>
    <w:p w14:paraId="71DDFCC3" w14:textId="77777777" w:rsidR="003546D2" w:rsidRPr="00513381" w:rsidRDefault="003546D2" w:rsidP="00916CD4">
      <w:pPr>
        <w:pStyle w:val="ListParagraph"/>
        <w:numPr>
          <w:ilvl w:val="0"/>
          <w:numId w:val="26"/>
        </w:numPr>
      </w:pPr>
      <w:r w:rsidRPr="00513381">
        <w:t xml:space="preserve">VAIA (vincristine, doxorubicin, </w:t>
      </w:r>
      <w:proofErr w:type="spellStart"/>
      <w:r w:rsidRPr="00513381">
        <w:t>ifosfamide</w:t>
      </w:r>
      <w:proofErr w:type="spellEnd"/>
      <w:r w:rsidRPr="00513381">
        <w:t>, and dactinomycin)</w:t>
      </w:r>
    </w:p>
    <w:p w14:paraId="08CDEFCE" w14:textId="3BC485C5" w:rsidR="003546D2" w:rsidRPr="00513381" w:rsidRDefault="003546D2" w:rsidP="00916CD4">
      <w:pPr>
        <w:pStyle w:val="ListParagraph"/>
        <w:numPr>
          <w:ilvl w:val="0"/>
          <w:numId w:val="26"/>
        </w:numPr>
      </w:pPr>
      <w:r w:rsidRPr="00513381">
        <w:t xml:space="preserve">VDC-IE (vincristine, doxorubicin or dactinomycin, and cyclophosphamide alternating with </w:t>
      </w:r>
      <w:proofErr w:type="spellStart"/>
      <w:r w:rsidRPr="00513381">
        <w:t>ifosfamide</w:t>
      </w:r>
      <w:proofErr w:type="spellEnd"/>
      <w:r w:rsidRPr="00513381">
        <w:t xml:space="preserve"> and etoposide)</w:t>
      </w:r>
    </w:p>
    <w:p w14:paraId="5F755679" w14:textId="77777777" w:rsidR="003546D2" w:rsidRPr="00513381" w:rsidRDefault="003546D2" w:rsidP="00916CD4">
      <w:pPr>
        <w:pStyle w:val="ListParagraph"/>
        <w:numPr>
          <w:ilvl w:val="0"/>
          <w:numId w:val="26"/>
        </w:numPr>
      </w:pPr>
      <w:r w:rsidRPr="00513381">
        <w:t>Cisplatin/doxorubicin</w:t>
      </w:r>
    </w:p>
    <w:p w14:paraId="33835958" w14:textId="77777777" w:rsidR="003546D2" w:rsidRPr="00513381" w:rsidRDefault="003546D2" w:rsidP="00916CD4">
      <w:pPr>
        <w:pStyle w:val="ListParagraph"/>
        <w:numPr>
          <w:ilvl w:val="0"/>
          <w:numId w:val="26"/>
        </w:numPr>
      </w:pPr>
      <w:r w:rsidRPr="00513381">
        <w:t>VDC (cyclophosphamide, vincristine, doxorubicin or dactinomycin)</w:t>
      </w:r>
    </w:p>
    <w:p w14:paraId="51074256" w14:textId="77777777" w:rsidR="003546D2" w:rsidRPr="00C241A8" w:rsidRDefault="003546D2" w:rsidP="00916CD4">
      <w:pPr>
        <w:pStyle w:val="ListParagraph"/>
        <w:numPr>
          <w:ilvl w:val="0"/>
          <w:numId w:val="26"/>
        </w:numPr>
        <w:rPr>
          <w:lang w:val="fr-BE"/>
        </w:rPr>
      </w:pPr>
      <w:r w:rsidRPr="00C241A8">
        <w:rPr>
          <w:lang w:val="fr-BE"/>
        </w:rPr>
        <w:t xml:space="preserve">VIDE (vincristine, </w:t>
      </w:r>
      <w:proofErr w:type="spellStart"/>
      <w:r w:rsidRPr="00C241A8">
        <w:rPr>
          <w:lang w:val="fr-BE"/>
        </w:rPr>
        <w:t>ifosfamide</w:t>
      </w:r>
      <w:proofErr w:type="spellEnd"/>
      <w:r w:rsidRPr="00C241A8">
        <w:rPr>
          <w:lang w:val="fr-BE"/>
        </w:rPr>
        <w:t xml:space="preserve">, </w:t>
      </w:r>
      <w:proofErr w:type="spellStart"/>
      <w:r w:rsidRPr="00C241A8">
        <w:rPr>
          <w:lang w:val="fr-BE"/>
        </w:rPr>
        <w:t>doxorubicin</w:t>
      </w:r>
      <w:proofErr w:type="spellEnd"/>
      <w:r w:rsidRPr="00C241A8">
        <w:rPr>
          <w:lang w:val="fr-BE"/>
        </w:rPr>
        <w:t xml:space="preserve"> or </w:t>
      </w:r>
      <w:proofErr w:type="spellStart"/>
      <w:r w:rsidRPr="00C241A8">
        <w:rPr>
          <w:lang w:val="fr-BE"/>
        </w:rPr>
        <w:t>dactinomycin</w:t>
      </w:r>
      <w:proofErr w:type="spellEnd"/>
      <w:r w:rsidRPr="00C241A8">
        <w:rPr>
          <w:lang w:val="fr-BE"/>
        </w:rPr>
        <w:t xml:space="preserve">, </w:t>
      </w:r>
      <w:proofErr w:type="spellStart"/>
      <w:r w:rsidRPr="00C241A8">
        <w:rPr>
          <w:lang w:val="fr-BE"/>
        </w:rPr>
        <w:t>etoposide</w:t>
      </w:r>
      <w:proofErr w:type="spellEnd"/>
      <w:r w:rsidRPr="00C241A8">
        <w:rPr>
          <w:lang w:val="fr-BE"/>
        </w:rPr>
        <w:t>)</w:t>
      </w:r>
    </w:p>
    <w:p w14:paraId="1E88AE04" w14:textId="77777777" w:rsidR="003546D2" w:rsidRPr="00513381" w:rsidRDefault="003546D2" w:rsidP="00513381">
      <w:pPr>
        <w:pStyle w:val="Heading4"/>
      </w:pPr>
      <w:r w:rsidRPr="00513381">
        <w:t>Breast Cancer:</w:t>
      </w:r>
    </w:p>
    <w:p w14:paraId="7C88A1F2" w14:textId="77777777" w:rsidR="003546D2" w:rsidRPr="00513381" w:rsidRDefault="003546D2" w:rsidP="00916CD4">
      <w:pPr>
        <w:pStyle w:val="ListParagraph"/>
        <w:numPr>
          <w:ilvl w:val="0"/>
          <w:numId w:val="27"/>
        </w:numPr>
      </w:pPr>
      <w:r w:rsidRPr="00513381">
        <w:t xml:space="preserve">Dose-dense AC (doxorubicin, cyclophosphamide) followed by dose-dense </w:t>
      </w:r>
      <w:proofErr w:type="gramStart"/>
      <w:r w:rsidRPr="00513381">
        <w:t>paclitaxel</w:t>
      </w:r>
      <w:proofErr w:type="gramEnd"/>
    </w:p>
    <w:p w14:paraId="20B9C098" w14:textId="77777777" w:rsidR="003546D2" w:rsidRPr="00513381" w:rsidRDefault="003546D2" w:rsidP="00916CD4">
      <w:pPr>
        <w:pStyle w:val="ListParagraph"/>
        <w:numPr>
          <w:ilvl w:val="0"/>
          <w:numId w:val="27"/>
        </w:numPr>
      </w:pPr>
      <w:r w:rsidRPr="00513381">
        <w:t>TAC (docetaxel, doxorubicin, cyclophosphamide)</w:t>
      </w:r>
    </w:p>
    <w:p w14:paraId="111E4E7B" w14:textId="77777777" w:rsidR="003546D2" w:rsidRPr="00513381" w:rsidRDefault="003546D2" w:rsidP="00916CD4">
      <w:pPr>
        <w:pStyle w:val="ListParagraph"/>
        <w:numPr>
          <w:ilvl w:val="0"/>
          <w:numId w:val="27"/>
        </w:numPr>
      </w:pPr>
      <w:r w:rsidRPr="00513381">
        <w:t>TC (docetaxel, cyclophosphamide)</w:t>
      </w:r>
    </w:p>
    <w:p w14:paraId="52B56E31" w14:textId="77777777" w:rsidR="003546D2" w:rsidRPr="00513381" w:rsidRDefault="003546D2" w:rsidP="00916CD4">
      <w:pPr>
        <w:pStyle w:val="ListParagraph"/>
        <w:numPr>
          <w:ilvl w:val="0"/>
          <w:numId w:val="27"/>
        </w:numPr>
      </w:pPr>
      <w:r w:rsidRPr="00513381">
        <w:t>TCH (docetaxel, carboplatin, trastuzumab)</w:t>
      </w:r>
    </w:p>
    <w:p w14:paraId="15513FC5" w14:textId="77777777" w:rsidR="003546D2" w:rsidRPr="00513381" w:rsidRDefault="003546D2" w:rsidP="00513381">
      <w:pPr>
        <w:pStyle w:val="Heading4"/>
      </w:pPr>
      <w:r w:rsidRPr="00513381">
        <w:t>Head and Neck Squamous Cell Carcinoma</w:t>
      </w:r>
    </w:p>
    <w:p w14:paraId="6908269B" w14:textId="77777777" w:rsidR="003546D2" w:rsidRPr="00513381" w:rsidRDefault="003546D2" w:rsidP="00513381">
      <w:pPr>
        <w:pStyle w:val="BodyText"/>
      </w:pPr>
      <w:r w:rsidRPr="00513381">
        <w:rPr>
          <w:rStyle w:val="newtext"/>
        </w:rPr>
        <w:t>TPF (docetaxel, cisplatin, 5-</w:t>
      </w:r>
      <w:r w:rsidRPr="00513381">
        <w:t>fluorouracil</w:t>
      </w:r>
      <w:r w:rsidRPr="00513381">
        <w:rPr>
          <w:rStyle w:val="newtext"/>
        </w:rPr>
        <w:t>)</w:t>
      </w:r>
    </w:p>
    <w:p w14:paraId="78BDF16E" w14:textId="77777777" w:rsidR="003546D2" w:rsidRPr="00513381" w:rsidRDefault="003546D2" w:rsidP="00513381">
      <w:pPr>
        <w:pStyle w:val="Heading4"/>
      </w:pPr>
      <w:r w:rsidRPr="00513381">
        <w:lastRenderedPageBreak/>
        <w:t>Hodgkin Lymphoma:</w:t>
      </w:r>
    </w:p>
    <w:p w14:paraId="29E40319" w14:textId="77777777" w:rsidR="003546D2" w:rsidRPr="00513381" w:rsidRDefault="003546D2" w:rsidP="00916CD4">
      <w:pPr>
        <w:pStyle w:val="ListParagraph"/>
        <w:numPr>
          <w:ilvl w:val="0"/>
          <w:numId w:val="28"/>
        </w:numPr>
      </w:pPr>
      <w:r w:rsidRPr="00513381">
        <w:t>Brentuximab vedotin + AVD (doxorubicin, vinblastine, dacarbazine)</w:t>
      </w:r>
    </w:p>
    <w:p w14:paraId="2B578C8E" w14:textId="77777777" w:rsidR="003546D2" w:rsidRPr="00513381" w:rsidRDefault="003546D2" w:rsidP="00916CD4">
      <w:pPr>
        <w:pStyle w:val="ListParagraph"/>
        <w:numPr>
          <w:ilvl w:val="0"/>
          <w:numId w:val="28"/>
        </w:numPr>
      </w:pPr>
      <w:r w:rsidRPr="00513381">
        <w:t>Escalated BEACOPP (bleomycin, etoposide, doxorubicin, cyclophosphamide, vincristine, procarbazine, prednisone)</w:t>
      </w:r>
    </w:p>
    <w:p w14:paraId="58B7FF72" w14:textId="0D818397" w:rsidR="003546D2" w:rsidRPr="00513381" w:rsidRDefault="003546D2" w:rsidP="00513381">
      <w:pPr>
        <w:pStyle w:val="Heading4"/>
      </w:pPr>
      <w:r w:rsidRPr="00513381">
        <w:t>Kidney Cancer:</w:t>
      </w:r>
    </w:p>
    <w:p w14:paraId="25CFACC8" w14:textId="77777777" w:rsidR="003546D2" w:rsidRPr="00211F91" w:rsidRDefault="003546D2" w:rsidP="003546D2">
      <w:pPr>
        <w:pStyle w:val="BodyText"/>
      </w:pPr>
      <w:r w:rsidRPr="00211F91">
        <w:t>Doxorubicin/gemcitabine</w:t>
      </w:r>
    </w:p>
    <w:p w14:paraId="2B242B81" w14:textId="77777777" w:rsidR="003546D2" w:rsidRPr="00513381" w:rsidRDefault="003546D2" w:rsidP="00513381">
      <w:pPr>
        <w:pStyle w:val="Heading4"/>
      </w:pPr>
      <w:r w:rsidRPr="00513381">
        <w:t>Non-Hodgkin's Lymphoma:</w:t>
      </w:r>
    </w:p>
    <w:p w14:paraId="25A5CC35" w14:textId="77777777" w:rsidR="003546D2" w:rsidRPr="00513381" w:rsidRDefault="003546D2" w:rsidP="00916CD4">
      <w:pPr>
        <w:pStyle w:val="ListParagraph"/>
        <w:numPr>
          <w:ilvl w:val="0"/>
          <w:numId w:val="29"/>
        </w:numPr>
      </w:pPr>
      <w:r w:rsidRPr="00513381">
        <w:t>CHP (cyclophosphamide, doxorubicin, prednisone) + brentuximab vedotin</w:t>
      </w:r>
    </w:p>
    <w:p w14:paraId="6497C6A6" w14:textId="77777777" w:rsidR="003546D2" w:rsidRPr="00513381" w:rsidRDefault="003546D2" w:rsidP="00916CD4">
      <w:pPr>
        <w:pStyle w:val="ListParagraph"/>
        <w:numPr>
          <w:ilvl w:val="0"/>
          <w:numId w:val="29"/>
        </w:numPr>
      </w:pPr>
      <w:r w:rsidRPr="00513381">
        <w:t xml:space="preserve">Dose-adjusted EPOCH (etoposide, prednisone, vincristine, cyclophosphamide, doxorubicin) </w:t>
      </w:r>
      <w:r w:rsidRPr="00513381">
        <w:rPr>
          <w:rFonts w:ascii="Calibri" w:hAnsi="Calibri" w:cs="Calibri"/>
        </w:rPr>
        <w:t>±</w:t>
      </w:r>
      <w:r w:rsidRPr="00513381">
        <w:t xml:space="preserve"> rituximab</w:t>
      </w:r>
    </w:p>
    <w:p w14:paraId="2DACAD64" w14:textId="77777777" w:rsidR="003546D2" w:rsidRPr="00513381" w:rsidRDefault="003546D2" w:rsidP="00916CD4">
      <w:pPr>
        <w:pStyle w:val="ListParagraph"/>
        <w:numPr>
          <w:ilvl w:val="0"/>
          <w:numId w:val="29"/>
        </w:numPr>
      </w:pPr>
      <w:r w:rsidRPr="00513381">
        <w:t>ICE (</w:t>
      </w:r>
      <w:proofErr w:type="spellStart"/>
      <w:r w:rsidRPr="00513381">
        <w:t>ifosfamide</w:t>
      </w:r>
      <w:proofErr w:type="spellEnd"/>
      <w:r w:rsidRPr="00513381">
        <w:t xml:space="preserve">, carboplatin, etoposide) </w:t>
      </w:r>
      <w:r w:rsidRPr="00513381">
        <w:rPr>
          <w:rFonts w:ascii="Calibri" w:hAnsi="Calibri" w:cs="Calibri"/>
        </w:rPr>
        <w:t>±</w:t>
      </w:r>
      <w:r w:rsidRPr="00513381">
        <w:t xml:space="preserve"> rituximab</w:t>
      </w:r>
    </w:p>
    <w:p w14:paraId="54849C0F" w14:textId="77777777" w:rsidR="003546D2" w:rsidRPr="00C241A8" w:rsidRDefault="003546D2" w:rsidP="00916CD4">
      <w:pPr>
        <w:pStyle w:val="ListParagraph"/>
        <w:numPr>
          <w:ilvl w:val="0"/>
          <w:numId w:val="29"/>
        </w:numPr>
        <w:rPr>
          <w:lang w:val="fr-BE"/>
        </w:rPr>
      </w:pPr>
      <w:r w:rsidRPr="00C241A8">
        <w:rPr>
          <w:lang w:val="fr-BE"/>
        </w:rPr>
        <w:t xml:space="preserve">Dose-dense CHOP-14 (cyclophosphamide, </w:t>
      </w:r>
      <w:proofErr w:type="spellStart"/>
      <w:r w:rsidRPr="00C241A8">
        <w:rPr>
          <w:lang w:val="fr-BE"/>
        </w:rPr>
        <w:t>doxorubicin</w:t>
      </w:r>
      <w:proofErr w:type="spellEnd"/>
      <w:r w:rsidRPr="00C241A8">
        <w:rPr>
          <w:lang w:val="fr-BE"/>
        </w:rPr>
        <w:t xml:space="preserve">, vincristine, prednisone) </w:t>
      </w:r>
      <w:r w:rsidRPr="00C241A8">
        <w:rPr>
          <w:rFonts w:ascii="Calibri" w:hAnsi="Calibri" w:cs="Calibri"/>
          <w:lang w:val="fr-BE"/>
        </w:rPr>
        <w:t>±</w:t>
      </w:r>
      <w:r w:rsidRPr="00C241A8">
        <w:rPr>
          <w:lang w:val="fr-BE"/>
        </w:rPr>
        <w:t xml:space="preserve"> rituximab</w:t>
      </w:r>
    </w:p>
    <w:p w14:paraId="7E63D744" w14:textId="77777777" w:rsidR="003546D2" w:rsidRPr="00513381" w:rsidRDefault="003546D2" w:rsidP="00916CD4">
      <w:pPr>
        <w:pStyle w:val="ListParagraph"/>
        <w:numPr>
          <w:ilvl w:val="0"/>
          <w:numId w:val="29"/>
        </w:numPr>
      </w:pPr>
      <w:r w:rsidRPr="00513381">
        <w:t>MINE (</w:t>
      </w:r>
      <w:proofErr w:type="spellStart"/>
      <w:r w:rsidRPr="00513381">
        <w:t>mesna</w:t>
      </w:r>
      <w:proofErr w:type="spellEnd"/>
      <w:r w:rsidRPr="00513381">
        <w:t xml:space="preserve">, </w:t>
      </w:r>
      <w:proofErr w:type="spellStart"/>
      <w:r w:rsidRPr="00513381">
        <w:t>ifosfamide</w:t>
      </w:r>
      <w:proofErr w:type="spellEnd"/>
      <w:r w:rsidRPr="00513381">
        <w:t xml:space="preserve">, mitoxantrone, etoposide) </w:t>
      </w:r>
      <w:r w:rsidRPr="00513381">
        <w:rPr>
          <w:rFonts w:ascii="Calibri" w:hAnsi="Calibri" w:cs="Calibri"/>
        </w:rPr>
        <w:t>±</w:t>
      </w:r>
      <w:r w:rsidRPr="00513381">
        <w:t xml:space="preserve"> rituximab</w:t>
      </w:r>
    </w:p>
    <w:p w14:paraId="57465A84" w14:textId="77777777" w:rsidR="003546D2" w:rsidRPr="00513381" w:rsidRDefault="003546D2" w:rsidP="00916CD4">
      <w:pPr>
        <w:pStyle w:val="ListParagraph"/>
        <w:numPr>
          <w:ilvl w:val="0"/>
          <w:numId w:val="29"/>
        </w:numPr>
      </w:pPr>
      <w:r w:rsidRPr="00513381">
        <w:t xml:space="preserve">DHAP (dexamethasone, cisplatin, cytarabine) </w:t>
      </w:r>
      <w:r w:rsidRPr="00513381">
        <w:rPr>
          <w:rFonts w:ascii="Calibri" w:hAnsi="Calibri" w:cs="Calibri"/>
        </w:rPr>
        <w:t>±</w:t>
      </w:r>
      <w:r w:rsidRPr="00513381">
        <w:t xml:space="preserve"> rituximab</w:t>
      </w:r>
    </w:p>
    <w:p w14:paraId="410B5BE2" w14:textId="77777777" w:rsidR="003546D2" w:rsidRPr="00513381" w:rsidRDefault="003546D2" w:rsidP="00916CD4">
      <w:pPr>
        <w:pStyle w:val="ListParagraph"/>
        <w:numPr>
          <w:ilvl w:val="0"/>
          <w:numId w:val="29"/>
        </w:numPr>
      </w:pPr>
      <w:r w:rsidRPr="00513381">
        <w:t xml:space="preserve">ESHAP (etoposide, methylprednisolone, cisplatin, cytarabine) </w:t>
      </w:r>
      <w:r w:rsidRPr="00513381">
        <w:rPr>
          <w:rFonts w:ascii="Calibri" w:hAnsi="Calibri" w:cs="Calibri"/>
        </w:rPr>
        <w:t>±</w:t>
      </w:r>
      <w:r w:rsidRPr="00513381">
        <w:t xml:space="preserve"> rituximab</w:t>
      </w:r>
    </w:p>
    <w:p w14:paraId="6BD0D673" w14:textId="77777777" w:rsidR="003546D2" w:rsidRPr="00513381" w:rsidRDefault="003546D2" w:rsidP="00916CD4">
      <w:pPr>
        <w:pStyle w:val="ListParagraph"/>
        <w:numPr>
          <w:ilvl w:val="0"/>
          <w:numId w:val="29"/>
        </w:numPr>
      </w:pPr>
      <w:proofErr w:type="spellStart"/>
      <w:r w:rsidRPr="00513381">
        <w:t>HyperCVAD</w:t>
      </w:r>
      <w:proofErr w:type="spellEnd"/>
      <w:r w:rsidRPr="00513381">
        <w:t xml:space="preserve"> </w:t>
      </w:r>
      <w:r w:rsidRPr="00513381">
        <w:rPr>
          <w:rFonts w:ascii="Calibri" w:hAnsi="Calibri" w:cs="Calibri"/>
        </w:rPr>
        <w:t>±</w:t>
      </w:r>
      <w:r w:rsidRPr="00513381">
        <w:t xml:space="preserve"> rituximab (cyclophosphamide, vincristine, doxorubicin, dexamethasone </w:t>
      </w:r>
      <w:r w:rsidRPr="00513381">
        <w:rPr>
          <w:rFonts w:ascii="Calibri" w:hAnsi="Calibri" w:cs="Calibri"/>
        </w:rPr>
        <w:t>±</w:t>
      </w:r>
      <w:r w:rsidRPr="00513381">
        <w:t xml:space="preserve"> rituximab)</w:t>
      </w:r>
    </w:p>
    <w:p w14:paraId="45BFE274" w14:textId="77777777" w:rsidR="003546D2" w:rsidRPr="00513381" w:rsidRDefault="003546D2" w:rsidP="00916CD4">
      <w:pPr>
        <w:pStyle w:val="ListParagraph"/>
        <w:numPr>
          <w:ilvl w:val="0"/>
          <w:numId w:val="29"/>
        </w:numPr>
      </w:pPr>
      <w:r w:rsidRPr="00513381">
        <w:t>Pola-R-CHP (</w:t>
      </w:r>
      <w:proofErr w:type="spellStart"/>
      <w:r w:rsidRPr="00513381">
        <w:t>polatuzumab</w:t>
      </w:r>
      <w:proofErr w:type="spellEnd"/>
      <w:r w:rsidRPr="00513381">
        <w:t xml:space="preserve"> vedotin-</w:t>
      </w:r>
      <w:proofErr w:type="spellStart"/>
      <w:r w:rsidRPr="00513381">
        <w:t>piiq</w:t>
      </w:r>
      <w:proofErr w:type="spellEnd"/>
      <w:r w:rsidRPr="00513381">
        <w:t>, rituximab, cyclophosphamide, doxorubicin, prednisone)</w:t>
      </w:r>
    </w:p>
    <w:p w14:paraId="6D5F4C89" w14:textId="77777777" w:rsidR="003546D2" w:rsidRPr="00513381" w:rsidRDefault="003546D2" w:rsidP="00513381">
      <w:pPr>
        <w:pStyle w:val="Heading4"/>
      </w:pPr>
      <w:r w:rsidRPr="00513381">
        <w:t>Melanoma:</w:t>
      </w:r>
    </w:p>
    <w:p w14:paraId="7C082026" w14:textId="77777777" w:rsidR="003546D2" w:rsidRPr="00513381" w:rsidRDefault="003546D2" w:rsidP="003546D2">
      <w:pPr>
        <w:pStyle w:val="BodyText"/>
      </w:pPr>
      <w:r w:rsidRPr="00513381">
        <w:t>Dacarbazine-based combination with IL-2, interferon alpha (dacarbazine, cisplatin, vinblastine, IL-2, interferon alfa)</w:t>
      </w:r>
    </w:p>
    <w:p w14:paraId="5EC63FB9" w14:textId="32B477FC" w:rsidR="003546D2" w:rsidRPr="00513381" w:rsidRDefault="003546D2" w:rsidP="00513381">
      <w:pPr>
        <w:pStyle w:val="Heading4"/>
      </w:pPr>
      <w:r w:rsidRPr="00513381">
        <w:t>Multiple Myeloma:</w:t>
      </w:r>
    </w:p>
    <w:p w14:paraId="76878807" w14:textId="77777777" w:rsidR="003546D2" w:rsidRPr="00513381" w:rsidRDefault="003546D2" w:rsidP="00916CD4">
      <w:pPr>
        <w:pStyle w:val="ListParagraph"/>
        <w:numPr>
          <w:ilvl w:val="0"/>
          <w:numId w:val="30"/>
        </w:numPr>
      </w:pPr>
      <w:r w:rsidRPr="00513381">
        <w:t xml:space="preserve">VTD-PACE (dexamethasone/thalidomide/cisplatin/doxorubicin/cyclophosphamide/etoposide + bortezomib) </w:t>
      </w:r>
    </w:p>
    <w:p w14:paraId="487A5CFE" w14:textId="77777777" w:rsidR="003546D2" w:rsidRPr="00513381" w:rsidRDefault="003546D2" w:rsidP="00916CD4">
      <w:pPr>
        <w:pStyle w:val="ListParagraph"/>
        <w:numPr>
          <w:ilvl w:val="0"/>
          <w:numId w:val="30"/>
        </w:numPr>
      </w:pPr>
      <w:r w:rsidRPr="00513381">
        <w:t>DT-PACE (dexamethasone/thalidomide/cisplatin/doxorubicin/cyclophosphamide/etoposide)</w:t>
      </w:r>
    </w:p>
    <w:p w14:paraId="194E5E35" w14:textId="2BD3DCF5" w:rsidR="003546D2" w:rsidRPr="00513381" w:rsidRDefault="003546D2" w:rsidP="00513381">
      <w:pPr>
        <w:pStyle w:val="Heading4"/>
      </w:pPr>
      <w:r w:rsidRPr="00513381">
        <w:t>Ovarian Cancer:</w:t>
      </w:r>
    </w:p>
    <w:p w14:paraId="6E80DA3D" w14:textId="77777777" w:rsidR="003546D2" w:rsidRPr="00513381" w:rsidRDefault="003546D2" w:rsidP="00916CD4">
      <w:pPr>
        <w:pStyle w:val="ListParagraph"/>
        <w:numPr>
          <w:ilvl w:val="0"/>
          <w:numId w:val="31"/>
        </w:numPr>
      </w:pPr>
      <w:r w:rsidRPr="00513381">
        <w:t xml:space="preserve">Topotecan </w:t>
      </w:r>
      <w:r w:rsidRPr="00513381">
        <w:rPr>
          <w:rFonts w:ascii="Calibri" w:hAnsi="Calibri" w:cs="Calibri"/>
        </w:rPr>
        <w:t>±</w:t>
      </w:r>
      <w:r w:rsidRPr="00513381">
        <w:t xml:space="preserve"> bevacizumab</w:t>
      </w:r>
    </w:p>
    <w:p w14:paraId="60413ED5" w14:textId="77777777" w:rsidR="003546D2" w:rsidRPr="00513381" w:rsidRDefault="003546D2" w:rsidP="00916CD4">
      <w:pPr>
        <w:pStyle w:val="ListParagraph"/>
        <w:numPr>
          <w:ilvl w:val="0"/>
          <w:numId w:val="31"/>
        </w:numPr>
      </w:pPr>
      <w:r w:rsidRPr="00513381">
        <w:t>Docetaxel</w:t>
      </w:r>
    </w:p>
    <w:p w14:paraId="42146824" w14:textId="77777777" w:rsidR="003546D2" w:rsidRPr="00513381" w:rsidRDefault="003546D2" w:rsidP="00513381">
      <w:pPr>
        <w:pStyle w:val="Heading4"/>
      </w:pPr>
      <w:r w:rsidRPr="00513381">
        <w:t>Soft Tissue Sarcoma:</w:t>
      </w:r>
    </w:p>
    <w:p w14:paraId="23EC0319" w14:textId="77777777" w:rsidR="003546D2" w:rsidRPr="00513381" w:rsidRDefault="003546D2" w:rsidP="00916CD4">
      <w:pPr>
        <w:pStyle w:val="ListParagraph"/>
        <w:numPr>
          <w:ilvl w:val="0"/>
          <w:numId w:val="32"/>
        </w:numPr>
      </w:pPr>
      <w:r w:rsidRPr="00513381">
        <w:t>MAID (</w:t>
      </w:r>
      <w:proofErr w:type="spellStart"/>
      <w:r w:rsidRPr="00513381">
        <w:t>mesna</w:t>
      </w:r>
      <w:proofErr w:type="spellEnd"/>
      <w:r w:rsidRPr="00513381">
        <w:t xml:space="preserve">, doxorubicin, </w:t>
      </w:r>
      <w:proofErr w:type="spellStart"/>
      <w:r w:rsidRPr="00513381">
        <w:t>ifosfamide</w:t>
      </w:r>
      <w:proofErr w:type="spellEnd"/>
      <w:r w:rsidRPr="00513381">
        <w:t>, dacarbazine)</w:t>
      </w:r>
    </w:p>
    <w:p w14:paraId="303F9DA4" w14:textId="77777777" w:rsidR="003546D2" w:rsidRPr="00513381" w:rsidRDefault="003546D2" w:rsidP="00916CD4">
      <w:pPr>
        <w:pStyle w:val="ListParagraph"/>
        <w:numPr>
          <w:ilvl w:val="0"/>
          <w:numId w:val="32"/>
        </w:numPr>
      </w:pPr>
      <w:r w:rsidRPr="00513381">
        <w:t>Doxorubicin</w:t>
      </w:r>
    </w:p>
    <w:p w14:paraId="138F61F7" w14:textId="77777777" w:rsidR="003546D2" w:rsidRPr="00513381" w:rsidRDefault="003546D2" w:rsidP="00916CD4">
      <w:pPr>
        <w:pStyle w:val="ListParagraph"/>
        <w:numPr>
          <w:ilvl w:val="0"/>
          <w:numId w:val="32"/>
        </w:numPr>
      </w:pPr>
      <w:proofErr w:type="spellStart"/>
      <w:r w:rsidRPr="00513381">
        <w:t>Ifosfamide</w:t>
      </w:r>
      <w:proofErr w:type="spellEnd"/>
      <w:r w:rsidRPr="00513381">
        <w:t>/doxorubicin</w:t>
      </w:r>
    </w:p>
    <w:p w14:paraId="7EADFBD8" w14:textId="243DF59F" w:rsidR="003546D2" w:rsidRPr="00513381" w:rsidRDefault="003546D2" w:rsidP="00513381">
      <w:pPr>
        <w:pStyle w:val="Heading4"/>
      </w:pPr>
      <w:r w:rsidRPr="00513381">
        <w:t>Small Cell Lung Cancer:</w:t>
      </w:r>
    </w:p>
    <w:p w14:paraId="73A399BB" w14:textId="77777777" w:rsidR="003546D2" w:rsidRPr="006E6155" w:rsidRDefault="003546D2" w:rsidP="006E6155">
      <w:pPr>
        <w:pStyle w:val="BodyText"/>
      </w:pPr>
      <w:r w:rsidRPr="006E6155">
        <w:t>Topotecan</w:t>
      </w:r>
    </w:p>
    <w:p w14:paraId="664D9C55" w14:textId="14C33652" w:rsidR="003546D2" w:rsidRPr="00513381" w:rsidRDefault="003546D2" w:rsidP="00513381">
      <w:pPr>
        <w:pStyle w:val="Heading4"/>
      </w:pPr>
      <w:r w:rsidRPr="00513381">
        <w:lastRenderedPageBreak/>
        <w:t>Testicular Cancer:</w:t>
      </w:r>
    </w:p>
    <w:p w14:paraId="4A735D64" w14:textId="77777777" w:rsidR="003546D2" w:rsidRPr="00513381" w:rsidRDefault="003546D2" w:rsidP="00916CD4">
      <w:pPr>
        <w:pStyle w:val="ListParagraph"/>
        <w:numPr>
          <w:ilvl w:val="0"/>
          <w:numId w:val="33"/>
        </w:numPr>
      </w:pPr>
      <w:proofErr w:type="spellStart"/>
      <w:r w:rsidRPr="00513381">
        <w:t>VelP</w:t>
      </w:r>
      <w:proofErr w:type="spellEnd"/>
      <w:r w:rsidRPr="00513381">
        <w:t xml:space="preserve"> (vinblastine, </w:t>
      </w:r>
      <w:proofErr w:type="spellStart"/>
      <w:r w:rsidRPr="00513381">
        <w:t>ifosfamide</w:t>
      </w:r>
      <w:proofErr w:type="spellEnd"/>
      <w:r w:rsidRPr="00513381">
        <w:t>, cisplatin)</w:t>
      </w:r>
    </w:p>
    <w:p w14:paraId="46D2B07A" w14:textId="77777777" w:rsidR="003546D2" w:rsidRPr="00513381" w:rsidRDefault="003546D2" w:rsidP="00916CD4">
      <w:pPr>
        <w:pStyle w:val="ListParagraph"/>
        <w:numPr>
          <w:ilvl w:val="0"/>
          <w:numId w:val="33"/>
        </w:numPr>
      </w:pPr>
      <w:r w:rsidRPr="00513381">
        <w:t xml:space="preserve">VIP (etoposide, </w:t>
      </w:r>
      <w:proofErr w:type="spellStart"/>
      <w:r w:rsidRPr="00513381">
        <w:t>ifosfamide</w:t>
      </w:r>
      <w:proofErr w:type="spellEnd"/>
      <w:r w:rsidRPr="00513381">
        <w:t>, cisplatin)</w:t>
      </w:r>
    </w:p>
    <w:p w14:paraId="1BC9086C" w14:textId="77777777" w:rsidR="003546D2" w:rsidRPr="00513381" w:rsidRDefault="003546D2" w:rsidP="00916CD4">
      <w:pPr>
        <w:pStyle w:val="ListParagraph"/>
        <w:numPr>
          <w:ilvl w:val="0"/>
          <w:numId w:val="33"/>
        </w:numPr>
      </w:pPr>
      <w:r w:rsidRPr="00513381">
        <w:t xml:space="preserve">TIP (paclitaxel, </w:t>
      </w:r>
      <w:proofErr w:type="spellStart"/>
      <w:r w:rsidRPr="00513381">
        <w:t>ifosfamide</w:t>
      </w:r>
      <w:proofErr w:type="spellEnd"/>
      <w:r w:rsidRPr="00513381">
        <w:t>, cisplatin)</w:t>
      </w:r>
    </w:p>
    <w:p w14:paraId="0A54D162" w14:textId="77777777" w:rsidR="003546D2" w:rsidRPr="00513381" w:rsidRDefault="003546D2" w:rsidP="00513381">
      <w:pPr>
        <w:pStyle w:val="Heading4"/>
      </w:pPr>
      <w:r w:rsidRPr="00513381">
        <w:t>Gestational Trophoblastic Neoplasia:</w:t>
      </w:r>
    </w:p>
    <w:p w14:paraId="72F14E47" w14:textId="77777777" w:rsidR="003546D2" w:rsidRPr="00513381" w:rsidRDefault="003546D2" w:rsidP="00916CD4">
      <w:pPr>
        <w:pStyle w:val="ListParagraph"/>
        <w:numPr>
          <w:ilvl w:val="0"/>
          <w:numId w:val="34"/>
        </w:numPr>
      </w:pPr>
      <w:r w:rsidRPr="00513381">
        <w:t>EMA/CO (etoposide, methotrexate, dactinomycin/cyclophosphamide, vincristine)</w:t>
      </w:r>
    </w:p>
    <w:p w14:paraId="2E54E40B" w14:textId="3CA1E1BE" w:rsidR="003546D2" w:rsidRPr="00513381" w:rsidRDefault="003546D2" w:rsidP="00916CD4">
      <w:pPr>
        <w:pStyle w:val="ListParagraph"/>
        <w:numPr>
          <w:ilvl w:val="0"/>
          <w:numId w:val="34"/>
        </w:numPr>
      </w:pPr>
      <w:r w:rsidRPr="00513381">
        <w:t>EMA/EP (etoposide, methotrexate, dactinomycin/etoposide, cisplatin)</w:t>
      </w:r>
    </w:p>
    <w:p w14:paraId="09BD435B" w14:textId="77777777" w:rsidR="003546D2" w:rsidRPr="00513381" w:rsidRDefault="003546D2" w:rsidP="00916CD4">
      <w:pPr>
        <w:pStyle w:val="ListParagraph"/>
        <w:numPr>
          <w:ilvl w:val="0"/>
          <w:numId w:val="34"/>
        </w:numPr>
      </w:pPr>
      <w:r w:rsidRPr="00513381">
        <w:t>EP/EMA (etoposide, cisplatin/etoposide, methotrexate, dactinomycin)</w:t>
      </w:r>
    </w:p>
    <w:p w14:paraId="3CCDA6DE" w14:textId="77777777" w:rsidR="003546D2" w:rsidRPr="00C241A8" w:rsidRDefault="003546D2" w:rsidP="00916CD4">
      <w:pPr>
        <w:pStyle w:val="ListParagraph"/>
        <w:numPr>
          <w:ilvl w:val="0"/>
          <w:numId w:val="34"/>
        </w:numPr>
        <w:rPr>
          <w:lang w:val="fr-BE"/>
        </w:rPr>
      </w:pPr>
      <w:r w:rsidRPr="00C241A8">
        <w:rPr>
          <w:lang w:val="fr-BE"/>
        </w:rPr>
        <w:t xml:space="preserve">TP/TE (paclitaxel, </w:t>
      </w:r>
      <w:proofErr w:type="spellStart"/>
      <w:r w:rsidRPr="00C241A8">
        <w:rPr>
          <w:lang w:val="fr-BE"/>
        </w:rPr>
        <w:t>cisplatin</w:t>
      </w:r>
      <w:proofErr w:type="spellEnd"/>
      <w:r w:rsidRPr="00C241A8">
        <w:rPr>
          <w:lang w:val="fr-BE"/>
        </w:rPr>
        <w:t xml:space="preserve">/paclitaxel, </w:t>
      </w:r>
      <w:proofErr w:type="spellStart"/>
      <w:r w:rsidRPr="00C241A8">
        <w:rPr>
          <w:lang w:val="fr-BE"/>
        </w:rPr>
        <w:t>etoposide</w:t>
      </w:r>
      <w:proofErr w:type="spellEnd"/>
      <w:r w:rsidRPr="00C241A8">
        <w:rPr>
          <w:lang w:val="fr-BE"/>
        </w:rPr>
        <w:t>)</w:t>
      </w:r>
    </w:p>
    <w:p w14:paraId="38875DF4" w14:textId="77777777" w:rsidR="003546D2" w:rsidRPr="00513381" w:rsidRDefault="003546D2" w:rsidP="00916CD4">
      <w:pPr>
        <w:pStyle w:val="ListParagraph"/>
        <w:numPr>
          <w:ilvl w:val="0"/>
          <w:numId w:val="34"/>
        </w:numPr>
      </w:pPr>
      <w:r w:rsidRPr="00513381">
        <w:t>BEP (bleomycin, etoposide, cisplatin)</w:t>
      </w:r>
    </w:p>
    <w:p w14:paraId="3C2C222C" w14:textId="77777777" w:rsidR="003546D2" w:rsidRPr="00513381" w:rsidRDefault="003546D2" w:rsidP="00916CD4">
      <w:pPr>
        <w:pStyle w:val="ListParagraph"/>
        <w:numPr>
          <w:ilvl w:val="0"/>
          <w:numId w:val="34"/>
        </w:numPr>
      </w:pPr>
      <w:bookmarkStart w:id="0" w:name="_Hlk168487843"/>
      <w:r w:rsidRPr="00513381">
        <w:t xml:space="preserve">VIP (etoposide, </w:t>
      </w:r>
      <w:proofErr w:type="spellStart"/>
      <w:r w:rsidRPr="00513381">
        <w:t>ifosfamide</w:t>
      </w:r>
      <w:proofErr w:type="spellEnd"/>
      <w:r w:rsidRPr="00513381">
        <w:t>, cisplatin)</w:t>
      </w:r>
    </w:p>
    <w:bookmarkEnd w:id="0"/>
    <w:p w14:paraId="0427C53C" w14:textId="77777777" w:rsidR="003546D2" w:rsidRPr="00513381" w:rsidRDefault="003546D2" w:rsidP="00916CD4">
      <w:pPr>
        <w:pStyle w:val="ListParagraph"/>
        <w:numPr>
          <w:ilvl w:val="0"/>
          <w:numId w:val="34"/>
        </w:numPr>
      </w:pPr>
      <w:r w:rsidRPr="00513381">
        <w:t>ICE (</w:t>
      </w:r>
      <w:proofErr w:type="spellStart"/>
      <w:r w:rsidRPr="00513381">
        <w:t>ifosfamide</w:t>
      </w:r>
      <w:proofErr w:type="spellEnd"/>
      <w:r w:rsidRPr="00513381">
        <w:t>, carboplatin, etoposide)</w:t>
      </w:r>
    </w:p>
    <w:p w14:paraId="04C63AB5" w14:textId="77777777" w:rsidR="003546D2" w:rsidRPr="00513381" w:rsidRDefault="003546D2" w:rsidP="00513381">
      <w:pPr>
        <w:pStyle w:val="Heading4"/>
      </w:pPr>
      <w:r w:rsidRPr="00513381">
        <w:t>Wilms Tumor:</w:t>
      </w:r>
    </w:p>
    <w:p w14:paraId="43C6F62A" w14:textId="77777777" w:rsidR="003546D2" w:rsidRPr="00513381" w:rsidRDefault="003546D2" w:rsidP="00916CD4">
      <w:pPr>
        <w:pStyle w:val="ListParagraph"/>
        <w:numPr>
          <w:ilvl w:val="0"/>
          <w:numId w:val="35"/>
        </w:numPr>
      </w:pPr>
      <w:r w:rsidRPr="00513381">
        <w:t>Regimen M (vincristine, dactinomycin, doxorubicin, cyclophosphamide, etoposide)</w:t>
      </w:r>
    </w:p>
    <w:p w14:paraId="42DE7CE1" w14:textId="77777777" w:rsidR="003546D2" w:rsidRPr="00513381" w:rsidRDefault="003546D2" w:rsidP="00916CD4">
      <w:pPr>
        <w:pStyle w:val="ListParagraph"/>
        <w:numPr>
          <w:ilvl w:val="0"/>
          <w:numId w:val="35"/>
        </w:numPr>
      </w:pPr>
      <w:r w:rsidRPr="00513381">
        <w:t>Regimen I (vincristine, doxorubicin, cyclophosphamide, etoposide)</w:t>
      </w:r>
    </w:p>
    <w:p w14:paraId="29259B94" w14:textId="78C3FECE" w:rsidR="003546D2" w:rsidRDefault="003546D2" w:rsidP="003546D2">
      <w:pPr>
        <w:pStyle w:val="BodyText"/>
      </w:pPr>
      <w:r w:rsidRPr="001D7FF2">
        <w:t>Applies to chemotherapy regimens with or without monoclonal antibodies (e.g., trastuzumab, rituximab)</w:t>
      </w:r>
    </w:p>
    <w:p w14:paraId="22CE5269" w14:textId="77777777" w:rsidR="003546D2" w:rsidRDefault="003546D2" w:rsidP="003546D2">
      <w:pPr>
        <w:pStyle w:val="BodyText"/>
      </w:pPr>
      <w:bookmarkStart w:id="1" w:name="OLE_LINK15"/>
      <w:r w:rsidRPr="00513381">
        <w:rPr>
          <w:vertAlign w:val="superscript"/>
        </w:rPr>
        <w:t>†</w:t>
      </w:r>
      <w:r>
        <w:t xml:space="preserve"> This list is not comprehensive; there are other agents/regimens that have an intermediate/high risk for development of febrile neutropenia.</w:t>
      </w:r>
    </w:p>
    <w:bookmarkEnd w:id="1"/>
    <w:p w14:paraId="24ED7946" w14:textId="4D6FAAFB" w:rsidR="003546D2" w:rsidRPr="00513381" w:rsidRDefault="003546D2" w:rsidP="00513381">
      <w:pPr>
        <w:pStyle w:val="Heading3"/>
      </w:pPr>
      <w:r w:rsidRPr="00513381">
        <w:t>APPENDIX B: Selected Chemotherapy Regimens with an Incidence of Febrile Neutropenia of 10% to 19%</w:t>
      </w:r>
      <w:r w:rsidRPr="00513381">
        <w:rPr>
          <w:vertAlign w:val="superscript"/>
        </w:rPr>
        <w:t>†</w:t>
      </w:r>
    </w:p>
    <w:p w14:paraId="45524394" w14:textId="77777777" w:rsidR="003546D2" w:rsidRPr="00513381" w:rsidRDefault="003546D2" w:rsidP="00513381">
      <w:pPr>
        <w:pStyle w:val="Heading4"/>
      </w:pPr>
      <w:r w:rsidRPr="00513381">
        <w:t>Occult Primary – Adenocarcinoma:</w:t>
      </w:r>
    </w:p>
    <w:p w14:paraId="7FF753BD" w14:textId="77777777" w:rsidR="003546D2" w:rsidRPr="00513381" w:rsidRDefault="003546D2" w:rsidP="003546D2">
      <w:pPr>
        <w:pStyle w:val="BodyText"/>
      </w:pPr>
      <w:r w:rsidRPr="00513381">
        <w:t>Gemcitabine/docetaxel</w:t>
      </w:r>
    </w:p>
    <w:p w14:paraId="4E5464BB" w14:textId="4568AD70" w:rsidR="003546D2" w:rsidRPr="00513381" w:rsidRDefault="003546D2" w:rsidP="00513381">
      <w:pPr>
        <w:pStyle w:val="Heading4"/>
      </w:pPr>
      <w:r w:rsidRPr="00513381">
        <w:t>Breast Cancer:</w:t>
      </w:r>
    </w:p>
    <w:p w14:paraId="16A94981" w14:textId="77777777" w:rsidR="003546D2" w:rsidRPr="00D31BC5" w:rsidRDefault="003546D2" w:rsidP="00916CD4">
      <w:pPr>
        <w:pStyle w:val="ListParagraph"/>
        <w:numPr>
          <w:ilvl w:val="0"/>
          <w:numId w:val="36"/>
        </w:numPr>
      </w:pPr>
      <w:r w:rsidRPr="00D31BC5">
        <w:t xml:space="preserve">Docetaxel </w:t>
      </w:r>
      <w:r w:rsidRPr="00D31BC5">
        <w:rPr>
          <w:rFonts w:ascii="Calibri" w:hAnsi="Calibri" w:cs="Calibri"/>
        </w:rPr>
        <w:t>±</w:t>
      </w:r>
      <w:r w:rsidRPr="00D31BC5">
        <w:t xml:space="preserve"> trastuzumab</w:t>
      </w:r>
    </w:p>
    <w:p w14:paraId="77759F18" w14:textId="77777777" w:rsidR="003546D2" w:rsidRPr="00D31BC5" w:rsidRDefault="003546D2" w:rsidP="00916CD4">
      <w:pPr>
        <w:pStyle w:val="ListParagraph"/>
        <w:numPr>
          <w:ilvl w:val="0"/>
          <w:numId w:val="36"/>
        </w:numPr>
      </w:pPr>
      <w:r w:rsidRPr="00D31BC5">
        <w:t>AC (doxorubicin, cyclophosphamide) + sequential docetaxel (</w:t>
      </w:r>
      <w:proofErr w:type="spellStart"/>
      <w:r w:rsidRPr="00D31BC5">
        <w:t>taxane</w:t>
      </w:r>
      <w:proofErr w:type="spellEnd"/>
      <w:r w:rsidRPr="00D31BC5">
        <w:t xml:space="preserve"> portion only)</w:t>
      </w:r>
    </w:p>
    <w:p w14:paraId="766555A0" w14:textId="77777777" w:rsidR="003546D2" w:rsidRPr="00D31BC5" w:rsidRDefault="003546D2" w:rsidP="00916CD4">
      <w:pPr>
        <w:pStyle w:val="ListParagraph"/>
        <w:numPr>
          <w:ilvl w:val="0"/>
          <w:numId w:val="36"/>
        </w:numPr>
      </w:pPr>
      <w:r w:rsidRPr="00D31BC5">
        <w:t>AC + sequential docetaxel + trastuzumab</w:t>
      </w:r>
    </w:p>
    <w:p w14:paraId="2892C959" w14:textId="77777777" w:rsidR="003546D2" w:rsidRPr="00D31BC5" w:rsidRDefault="003546D2" w:rsidP="00916CD4">
      <w:pPr>
        <w:pStyle w:val="ListParagraph"/>
        <w:numPr>
          <w:ilvl w:val="0"/>
          <w:numId w:val="36"/>
        </w:numPr>
      </w:pPr>
      <w:r w:rsidRPr="00D31BC5">
        <w:t xml:space="preserve">Paclitaxel every 21 days </w:t>
      </w:r>
      <w:r w:rsidRPr="00D31BC5">
        <w:rPr>
          <w:rFonts w:ascii="Calibri" w:hAnsi="Calibri" w:cs="Calibri"/>
        </w:rPr>
        <w:t>±</w:t>
      </w:r>
      <w:r w:rsidRPr="00D31BC5">
        <w:t xml:space="preserve"> trastuzumab</w:t>
      </w:r>
    </w:p>
    <w:p w14:paraId="2243164E" w14:textId="77777777" w:rsidR="003546D2" w:rsidRPr="00D31BC5" w:rsidRDefault="003546D2" w:rsidP="00916CD4">
      <w:pPr>
        <w:pStyle w:val="ListParagraph"/>
        <w:numPr>
          <w:ilvl w:val="0"/>
          <w:numId w:val="36"/>
        </w:numPr>
      </w:pPr>
      <w:r w:rsidRPr="00D31BC5">
        <w:t>TC (docetaxel, cyclophosphamide)</w:t>
      </w:r>
    </w:p>
    <w:p w14:paraId="02BB5FF1" w14:textId="75765F02" w:rsidR="003546D2" w:rsidRPr="00D31BC5" w:rsidRDefault="003546D2" w:rsidP="00D31BC5">
      <w:pPr>
        <w:pStyle w:val="Heading4"/>
      </w:pPr>
      <w:r w:rsidRPr="00D31BC5">
        <w:t>Cervical Cancer:</w:t>
      </w:r>
    </w:p>
    <w:p w14:paraId="695C5D77" w14:textId="77777777" w:rsidR="003546D2" w:rsidRPr="00D31BC5" w:rsidRDefault="003546D2" w:rsidP="00916CD4">
      <w:pPr>
        <w:pStyle w:val="ListParagraph"/>
        <w:numPr>
          <w:ilvl w:val="0"/>
          <w:numId w:val="37"/>
        </w:numPr>
        <w:rPr>
          <w:lang w:val="es-ES"/>
        </w:rPr>
      </w:pPr>
      <w:proofErr w:type="spellStart"/>
      <w:r w:rsidRPr="00D31BC5">
        <w:rPr>
          <w:lang w:val="es-ES"/>
        </w:rPr>
        <w:t>Irinotecan</w:t>
      </w:r>
      <w:proofErr w:type="spellEnd"/>
    </w:p>
    <w:p w14:paraId="177A91ED" w14:textId="77777777" w:rsidR="003546D2" w:rsidRPr="00D31BC5" w:rsidRDefault="003546D2" w:rsidP="00916CD4">
      <w:pPr>
        <w:pStyle w:val="ListParagraph"/>
        <w:numPr>
          <w:ilvl w:val="0"/>
          <w:numId w:val="37"/>
        </w:numPr>
        <w:rPr>
          <w:lang w:val="es-ES"/>
        </w:rPr>
      </w:pPr>
      <w:proofErr w:type="spellStart"/>
      <w:r w:rsidRPr="00D31BC5">
        <w:rPr>
          <w:lang w:val="es-ES"/>
        </w:rPr>
        <w:t>Cisplatin</w:t>
      </w:r>
      <w:proofErr w:type="spellEnd"/>
      <w:r w:rsidRPr="00D31BC5">
        <w:rPr>
          <w:lang w:val="es-ES"/>
        </w:rPr>
        <w:t>/</w:t>
      </w:r>
      <w:proofErr w:type="spellStart"/>
      <w:r w:rsidRPr="00D31BC5">
        <w:rPr>
          <w:lang w:val="es-ES"/>
        </w:rPr>
        <w:t>topotecan</w:t>
      </w:r>
      <w:proofErr w:type="spellEnd"/>
    </w:p>
    <w:p w14:paraId="543CE698" w14:textId="77777777" w:rsidR="003546D2" w:rsidRPr="00D31BC5" w:rsidRDefault="003546D2" w:rsidP="00916CD4">
      <w:pPr>
        <w:pStyle w:val="ListParagraph"/>
        <w:numPr>
          <w:ilvl w:val="0"/>
          <w:numId w:val="37"/>
        </w:numPr>
        <w:rPr>
          <w:lang w:val="es-ES"/>
        </w:rPr>
      </w:pPr>
      <w:proofErr w:type="spellStart"/>
      <w:r w:rsidRPr="00D31BC5">
        <w:rPr>
          <w:lang w:val="es-ES"/>
        </w:rPr>
        <w:t>Paclitaxel</w:t>
      </w:r>
      <w:proofErr w:type="spellEnd"/>
      <w:r w:rsidRPr="00D31BC5">
        <w:rPr>
          <w:lang w:val="es-ES"/>
        </w:rPr>
        <w:t>/</w:t>
      </w:r>
      <w:proofErr w:type="spellStart"/>
      <w:r w:rsidRPr="00D31BC5">
        <w:rPr>
          <w:lang w:val="es-ES"/>
        </w:rPr>
        <w:t>cisplatin</w:t>
      </w:r>
      <w:proofErr w:type="spellEnd"/>
      <w:r w:rsidRPr="00D31BC5">
        <w:rPr>
          <w:lang w:val="es-ES"/>
        </w:rPr>
        <w:t xml:space="preserve"> </w:t>
      </w:r>
      <w:r w:rsidRPr="00D31BC5">
        <w:rPr>
          <w:rFonts w:ascii="Calibri" w:hAnsi="Calibri" w:cs="Calibri"/>
          <w:lang w:val="es-ES"/>
        </w:rPr>
        <w:t>±</w:t>
      </w:r>
      <w:r w:rsidRPr="00D31BC5">
        <w:rPr>
          <w:lang w:val="es-ES"/>
        </w:rPr>
        <w:t xml:space="preserve"> bevacizumab</w:t>
      </w:r>
    </w:p>
    <w:p w14:paraId="3F674995" w14:textId="77777777" w:rsidR="003546D2" w:rsidRPr="00D31BC5" w:rsidRDefault="003546D2" w:rsidP="00916CD4">
      <w:pPr>
        <w:pStyle w:val="ListParagraph"/>
        <w:numPr>
          <w:ilvl w:val="0"/>
          <w:numId w:val="37"/>
        </w:numPr>
        <w:rPr>
          <w:lang w:val="es-ES"/>
        </w:rPr>
      </w:pPr>
      <w:proofErr w:type="spellStart"/>
      <w:r w:rsidRPr="00D31BC5">
        <w:rPr>
          <w:lang w:val="es-ES"/>
        </w:rPr>
        <w:t>Topotecan</w:t>
      </w:r>
      <w:proofErr w:type="spellEnd"/>
    </w:p>
    <w:p w14:paraId="787EB656" w14:textId="6DF968AF" w:rsidR="003546D2" w:rsidRPr="00D31BC5" w:rsidRDefault="003546D2" w:rsidP="00D31BC5">
      <w:pPr>
        <w:pStyle w:val="Heading4"/>
      </w:pPr>
      <w:r w:rsidRPr="00D31BC5">
        <w:lastRenderedPageBreak/>
        <w:t>Colorectal Cancer:</w:t>
      </w:r>
    </w:p>
    <w:p w14:paraId="3025FFF2" w14:textId="3C5F314A" w:rsidR="003546D2" w:rsidRPr="00D31BC5" w:rsidRDefault="003546D2" w:rsidP="00D31BC5">
      <w:pPr>
        <w:pStyle w:val="BodyText"/>
      </w:pPr>
      <w:bookmarkStart w:id="2" w:name="OLE_LINK1"/>
      <w:r w:rsidRPr="00D31BC5">
        <w:t>FOLFIRINOX (fluorouracil, leucovorin, oxaliplatin, irinotecan)</w:t>
      </w:r>
      <w:bookmarkEnd w:id="2"/>
    </w:p>
    <w:p w14:paraId="3CD8C6BF" w14:textId="77777777" w:rsidR="003546D2" w:rsidRPr="00D31BC5" w:rsidRDefault="003546D2" w:rsidP="00D31BC5">
      <w:pPr>
        <w:pStyle w:val="Heading4"/>
      </w:pPr>
      <w:r w:rsidRPr="00D31BC5">
        <w:t>Esophageal and Gastric Cancers:</w:t>
      </w:r>
    </w:p>
    <w:p w14:paraId="634D7370" w14:textId="77777777" w:rsidR="003546D2" w:rsidRPr="00513381" w:rsidRDefault="003546D2" w:rsidP="003546D2">
      <w:pPr>
        <w:pStyle w:val="BodyText"/>
      </w:pPr>
      <w:r w:rsidRPr="00513381">
        <w:t>Irinotecan/cisplatin</w:t>
      </w:r>
    </w:p>
    <w:p w14:paraId="2D5278AA" w14:textId="05145E57" w:rsidR="003546D2" w:rsidRPr="00D31BC5" w:rsidRDefault="003546D2" w:rsidP="00D31BC5">
      <w:pPr>
        <w:pStyle w:val="Heading4"/>
      </w:pPr>
      <w:r w:rsidRPr="00D31BC5">
        <w:t>Non-Hodgkin's Lymphomas:</w:t>
      </w:r>
    </w:p>
    <w:p w14:paraId="4FEBD797" w14:textId="77777777" w:rsidR="003546D2" w:rsidRPr="00D31BC5" w:rsidRDefault="003546D2" w:rsidP="00916CD4">
      <w:pPr>
        <w:pStyle w:val="ListParagraph"/>
        <w:numPr>
          <w:ilvl w:val="0"/>
          <w:numId w:val="38"/>
        </w:numPr>
      </w:pPr>
      <w:r w:rsidRPr="00D31BC5">
        <w:t>GDP (gemcitabine, dexamethasone, cisplatin/carboplatin)</w:t>
      </w:r>
    </w:p>
    <w:p w14:paraId="25BAA0C9" w14:textId="77777777" w:rsidR="003546D2" w:rsidRPr="00D31BC5" w:rsidRDefault="003546D2" w:rsidP="00916CD4">
      <w:pPr>
        <w:pStyle w:val="ListParagraph"/>
        <w:numPr>
          <w:ilvl w:val="0"/>
          <w:numId w:val="38"/>
        </w:numPr>
      </w:pPr>
      <w:r w:rsidRPr="00D31BC5">
        <w:t>GDP (gemcitabine, dexamethasone, cisplatin/carboplatin) + rituximab</w:t>
      </w:r>
    </w:p>
    <w:p w14:paraId="03B70C33" w14:textId="77777777" w:rsidR="003546D2" w:rsidRPr="00D31BC5" w:rsidRDefault="003546D2" w:rsidP="00916CD4">
      <w:pPr>
        <w:pStyle w:val="ListParagraph"/>
        <w:numPr>
          <w:ilvl w:val="0"/>
          <w:numId w:val="38"/>
        </w:numPr>
      </w:pPr>
      <w:r w:rsidRPr="00D31BC5">
        <w:t xml:space="preserve">CHOP (cyclophosphamide, doxorubicin, vincristine, prednisone) including regimens with pegylated liposomal </w:t>
      </w:r>
      <w:proofErr w:type="gramStart"/>
      <w:r w:rsidRPr="00D31BC5">
        <w:t>doxorubicin</w:t>
      </w:r>
      <w:proofErr w:type="gramEnd"/>
    </w:p>
    <w:p w14:paraId="205BB774" w14:textId="77777777" w:rsidR="003546D2" w:rsidRPr="00D31BC5" w:rsidRDefault="003546D2" w:rsidP="00916CD4">
      <w:pPr>
        <w:pStyle w:val="ListParagraph"/>
        <w:numPr>
          <w:ilvl w:val="0"/>
          <w:numId w:val="38"/>
        </w:numPr>
      </w:pPr>
      <w:r w:rsidRPr="00D31BC5">
        <w:t xml:space="preserve">CHOP + rituximab (cyclophosphamide, doxorubicin, vincristine, prednisone, rituximab) including regimens with pegylated liposomal </w:t>
      </w:r>
      <w:proofErr w:type="gramStart"/>
      <w:r w:rsidRPr="00D31BC5">
        <w:t>doxorubicin</w:t>
      </w:r>
      <w:proofErr w:type="gramEnd"/>
    </w:p>
    <w:p w14:paraId="79999615" w14:textId="77777777" w:rsidR="003546D2" w:rsidRPr="00D31BC5" w:rsidRDefault="003546D2" w:rsidP="00916CD4">
      <w:pPr>
        <w:pStyle w:val="ListParagraph"/>
        <w:numPr>
          <w:ilvl w:val="0"/>
          <w:numId w:val="38"/>
        </w:numPr>
      </w:pPr>
      <w:r w:rsidRPr="00D31BC5">
        <w:t xml:space="preserve">Bendamustine </w:t>
      </w:r>
    </w:p>
    <w:p w14:paraId="141FA5A2" w14:textId="5892A5D0" w:rsidR="003546D2" w:rsidRPr="00D31BC5" w:rsidRDefault="003546D2" w:rsidP="00D31BC5">
      <w:pPr>
        <w:pStyle w:val="Heading4"/>
      </w:pPr>
      <w:r w:rsidRPr="00D31BC5">
        <w:t>Non-Small Cell Lung Cancer:</w:t>
      </w:r>
    </w:p>
    <w:p w14:paraId="1D21F106" w14:textId="77777777" w:rsidR="003546D2" w:rsidRPr="00D31BC5" w:rsidRDefault="003546D2" w:rsidP="00916CD4">
      <w:pPr>
        <w:pStyle w:val="ListParagraph"/>
        <w:numPr>
          <w:ilvl w:val="0"/>
          <w:numId w:val="39"/>
        </w:numPr>
      </w:pPr>
      <w:r w:rsidRPr="00D31BC5">
        <w:t>Cisplatin/paclitaxel</w:t>
      </w:r>
    </w:p>
    <w:p w14:paraId="3A283D5C" w14:textId="77777777" w:rsidR="003546D2" w:rsidRPr="00D31BC5" w:rsidRDefault="003546D2" w:rsidP="00916CD4">
      <w:pPr>
        <w:pStyle w:val="ListParagraph"/>
        <w:numPr>
          <w:ilvl w:val="0"/>
          <w:numId w:val="39"/>
        </w:numPr>
      </w:pPr>
      <w:r w:rsidRPr="00D31BC5">
        <w:t>Cisplatin/vinorelbine</w:t>
      </w:r>
    </w:p>
    <w:p w14:paraId="34C6C585" w14:textId="77777777" w:rsidR="003546D2" w:rsidRPr="00D31BC5" w:rsidRDefault="003546D2" w:rsidP="00916CD4">
      <w:pPr>
        <w:pStyle w:val="ListParagraph"/>
        <w:numPr>
          <w:ilvl w:val="0"/>
          <w:numId w:val="39"/>
        </w:numPr>
      </w:pPr>
      <w:r w:rsidRPr="00D31BC5">
        <w:t>Cisplatin/docetaxel</w:t>
      </w:r>
    </w:p>
    <w:p w14:paraId="489443A7" w14:textId="77777777" w:rsidR="003546D2" w:rsidRPr="00D31BC5" w:rsidRDefault="003546D2" w:rsidP="00916CD4">
      <w:pPr>
        <w:pStyle w:val="ListParagraph"/>
        <w:numPr>
          <w:ilvl w:val="0"/>
          <w:numId w:val="39"/>
        </w:numPr>
      </w:pPr>
      <w:r w:rsidRPr="00D31BC5">
        <w:t>Cisplatin/etoposide</w:t>
      </w:r>
    </w:p>
    <w:p w14:paraId="7AF42A51" w14:textId="77777777" w:rsidR="003546D2" w:rsidRPr="00D31BC5" w:rsidRDefault="003546D2" w:rsidP="00916CD4">
      <w:pPr>
        <w:pStyle w:val="ListParagraph"/>
        <w:numPr>
          <w:ilvl w:val="0"/>
          <w:numId w:val="39"/>
        </w:numPr>
      </w:pPr>
      <w:r w:rsidRPr="00D31BC5">
        <w:t>Carboplatin/paclitaxel</w:t>
      </w:r>
    </w:p>
    <w:p w14:paraId="04085EAA" w14:textId="77777777" w:rsidR="003546D2" w:rsidRPr="00D31BC5" w:rsidRDefault="003546D2" w:rsidP="00916CD4">
      <w:pPr>
        <w:pStyle w:val="ListParagraph"/>
        <w:numPr>
          <w:ilvl w:val="0"/>
          <w:numId w:val="39"/>
        </w:numPr>
      </w:pPr>
      <w:r w:rsidRPr="00D31BC5">
        <w:t>Docetaxel</w:t>
      </w:r>
    </w:p>
    <w:p w14:paraId="50244F56" w14:textId="77777777" w:rsidR="003546D2" w:rsidRPr="00D31BC5" w:rsidRDefault="003546D2" w:rsidP="00D31BC5">
      <w:pPr>
        <w:pStyle w:val="Heading4"/>
      </w:pPr>
      <w:r w:rsidRPr="00D31BC5">
        <w:t>Ovarian Cancer:</w:t>
      </w:r>
    </w:p>
    <w:p w14:paraId="1C047D32" w14:textId="77777777" w:rsidR="003546D2" w:rsidRPr="00513381" w:rsidRDefault="003546D2" w:rsidP="003546D2">
      <w:pPr>
        <w:pStyle w:val="BodyText"/>
      </w:pPr>
      <w:r w:rsidRPr="00513381">
        <w:t>Carboplatin/docetaxel</w:t>
      </w:r>
    </w:p>
    <w:p w14:paraId="7343B0AA" w14:textId="77777777" w:rsidR="003546D2" w:rsidRPr="00D31BC5" w:rsidRDefault="003546D2" w:rsidP="00D31BC5">
      <w:pPr>
        <w:pStyle w:val="Heading4"/>
      </w:pPr>
      <w:r w:rsidRPr="00D31BC5">
        <w:t>Pancreatic Cancer:</w:t>
      </w:r>
    </w:p>
    <w:p w14:paraId="06DD713B" w14:textId="77777777" w:rsidR="003546D2" w:rsidRPr="0027111F" w:rsidRDefault="003546D2" w:rsidP="0027111F">
      <w:pPr>
        <w:pStyle w:val="BodyText"/>
        <w:rPr>
          <w:rStyle w:val="Strong"/>
          <w:b w:val="0"/>
          <w:bCs w:val="0"/>
        </w:rPr>
      </w:pPr>
      <w:r w:rsidRPr="0027111F">
        <w:t>FOLFIRINOX (fluorouracil, leucovorin, oxaliplatin, irinotecan)</w:t>
      </w:r>
    </w:p>
    <w:p w14:paraId="784DA77E" w14:textId="77777777" w:rsidR="003546D2" w:rsidRPr="00D31BC5" w:rsidRDefault="003546D2" w:rsidP="00D31BC5">
      <w:pPr>
        <w:pStyle w:val="Heading4"/>
      </w:pPr>
      <w:r w:rsidRPr="00D31BC5">
        <w:t>Prostate Cancer:</w:t>
      </w:r>
    </w:p>
    <w:p w14:paraId="1D712512" w14:textId="55E7DE36" w:rsidR="003546D2" w:rsidRDefault="00A02439" w:rsidP="003546D2">
      <w:pPr>
        <w:pStyle w:val="BodyText"/>
      </w:pPr>
      <w:r>
        <w:t>Cabazitaxel</w:t>
      </w:r>
    </w:p>
    <w:p w14:paraId="741991CA" w14:textId="51B2008C" w:rsidR="00A02439" w:rsidRPr="00D31BC5" w:rsidRDefault="00A02439" w:rsidP="00A02439">
      <w:pPr>
        <w:pStyle w:val="Heading4"/>
      </w:pPr>
      <w:r>
        <w:t>Small Cell Lung</w:t>
      </w:r>
      <w:r w:rsidRPr="00D31BC5">
        <w:t xml:space="preserve"> Cancer:</w:t>
      </w:r>
    </w:p>
    <w:p w14:paraId="5989D281" w14:textId="4B8029F3" w:rsidR="00A02439" w:rsidRPr="00513381" w:rsidRDefault="00A02439" w:rsidP="003546D2">
      <w:pPr>
        <w:pStyle w:val="BodyText"/>
      </w:pPr>
      <w:r w:rsidRPr="00513381">
        <w:t>Etoposide/carboplatin</w:t>
      </w:r>
    </w:p>
    <w:p w14:paraId="18A7E375" w14:textId="77777777" w:rsidR="003546D2" w:rsidRPr="00D31BC5" w:rsidRDefault="003546D2" w:rsidP="00D31BC5">
      <w:pPr>
        <w:pStyle w:val="Heading4"/>
      </w:pPr>
      <w:r w:rsidRPr="00D31BC5">
        <w:t>Testicular Cancer:</w:t>
      </w:r>
    </w:p>
    <w:p w14:paraId="7BCDB0A7" w14:textId="77777777" w:rsidR="003546D2" w:rsidRPr="00D31BC5" w:rsidRDefault="003546D2" w:rsidP="00916CD4">
      <w:pPr>
        <w:pStyle w:val="ListParagraph"/>
        <w:numPr>
          <w:ilvl w:val="0"/>
          <w:numId w:val="40"/>
        </w:numPr>
      </w:pPr>
      <w:r w:rsidRPr="00D31BC5">
        <w:t>BEP (bleomycin, etoposide, cisplatin)</w:t>
      </w:r>
    </w:p>
    <w:p w14:paraId="1CFEFCDE" w14:textId="77777777" w:rsidR="003546D2" w:rsidRPr="00D31BC5" w:rsidRDefault="003546D2" w:rsidP="00916CD4">
      <w:pPr>
        <w:pStyle w:val="ListParagraph"/>
        <w:numPr>
          <w:ilvl w:val="0"/>
          <w:numId w:val="40"/>
        </w:numPr>
      </w:pPr>
      <w:r w:rsidRPr="00D31BC5">
        <w:t>Etoposide/cisplatin</w:t>
      </w:r>
    </w:p>
    <w:p w14:paraId="7D379069" w14:textId="77777777" w:rsidR="003546D2" w:rsidRPr="00D31BC5" w:rsidRDefault="003546D2" w:rsidP="00D31BC5">
      <w:pPr>
        <w:pStyle w:val="Heading4"/>
      </w:pPr>
      <w:r w:rsidRPr="00D31BC5">
        <w:t>Uterine Sarcoma:</w:t>
      </w:r>
    </w:p>
    <w:p w14:paraId="7BF2C037" w14:textId="3CD5B94B" w:rsidR="003546D2" w:rsidRDefault="003546D2" w:rsidP="00D31BC5">
      <w:pPr>
        <w:pStyle w:val="BodyText"/>
      </w:pPr>
      <w:r w:rsidRPr="00513381">
        <w:t>Docetaxel</w:t>
      </w:r>
    </w:p>
    <w:p w14:paraId="2AC4F139" w14:textId="6E325659" w:rsidR="003546D2" w:rsidRDefault="003546D2" w:rsidP="003546D2">
      <w:pPr>
        <w:pStyle w:val="BodyText"/>
      </w:pPr>
      <w:r w:rsidRPr="001D7FF2">
        <w:t>Applies to chemotherapy regimens with or without monoclonal antibodies (e.g., trastuzumab, rituximab)</w:t>
      </w:r>
    </w:p>
    <w:p w14:paraId="64AA036E" w14:textId="4A95B3AE" w:rsidR="003546D2" w:rsidRDefault="003546D2" w:rsidP="00D31BC5">
      <w:pPr>
        <w:pStyle w:val="BodyText"/>
      </w:pPr>
      <w:bookmarkStart w:id="3" w:name="OLE_LINK14"/>
      <w:r w:rsidRPr="00D31BC5">
        <w:rPr>
          <w:vertAlign w:val="superscript"/>
        </w:rPr>
        <w:lastRenderedPageBreak/>
        <w:t>†</w:t>
      </w:r>
      <w:bookmarkEnd w:id="3"/>
      <w:r>
        <w:t xml:space="preserve"> This list is not comprehensive; there are other agents/regimens that have an intermediate/high risk for development of febrile neutropenia.</w:t>
      </w:r>
    </w:p>
    <w:p w14:paraId="69528B38" w14:textId="4A1B29C6" w:rsidR="003546D2" w:rsidRPr="00D31BC5" w:rsidRDefault="003546D2" w:rsidP="00D31BC5">
      <w:pPr>
        <w:pStyle w:val="Heading3"/>
      </w:pPr>
      <w:r w:rsidRPr="00D31BC5">
        <w:t>APPENDIX C: Patient Risk Factors</w:t>
      </w:r>
    </w:p>
    <w:p w14:paraId="1EB3D1A4" w14:textId="77777777" w:rsidR="003546D2" w:rsidRPr="005203DB" w:rsidRDefault="003546D2" w:rsidP="00916CD4">
      <w:pPr>
        <w:pStyle w:val="ListParagraph"/>
        <w:numPr>
          <w:ilvl w:val="0"/>
          <w:numId w:val="41"/>
        </w:numPr>
      </w:pPr>
      <w:r w:rsidRPr="005203DB">
        <w:t>Active infections, open wounds, or recent surgery</w:t>
      </w:r>
    </w:p>
    <w:p w14:paraId="737E4270" w14:textId="77777777" w:rsidR="003546D2" w:rsidRPr="005203DB" w:rsidRDefault="003546D2" w:rsidP="00916CD4">
      <w:pPr>
        <w:pStyle w:val="ListParagraph"/>
        <w:numPr>
          <w:ilvl w:val="0"/>
          <w:numId w:val="41"/>
        </w:numPr>
      </w:pPr>
      <w:r w:rsidRPr="005203DB">
        <w:t>Age greater than or equal to 65 years</w:t>
      </w:r>
    </w:p>
    <w:p w14:paraId="4DC7B5ED" w14:textId="77777777" w:rsidR="003546D2" w:rsidRPr="005203DB" w:rsidRDefault="003546D2" w:rsidP="00916CD4">
      <w:pPr>
        <w:pStyle w:val="ListParagraph"/>
        <w:numPr>
          <w:ilvl w:val="0"/>
          <w:numId w:val="41"/>
        </w:numPr>
      </w:pPr>
      <w:r w:rsidRPr="005203DB">
        <w:t xml:space="preserve">Bone marrow involvement by tumor producing </w:t>
      </w:r>
      <w:proofErr w:type="spellStart"/>
      <w:proofErr w:type="gramStart"/>
      <w:r w:rsidRPr="005203DB">
        <w:t>cytopenias</w:t>
      </w:r>
      <w:proofErr w:type="spellEnd"/>
      <w:proofErr w:type="gramEnd"/>
    </w:p>
    <w:p w14:paraId="019B2D07" w14:textId="77777777" w:rsidR="003546D2" w:rsidRPr="005203DB" w:rsidRDefault="003546D2" w:rsidP="00916CD4">
      <w:pPr>
        <w:pStyle w:val="ListParagraph"/>
        <w:numPr>
          <w:ilvl w:val="0"/>
          <w:numId w:val="41"/>
        </w:numPr>
      </w:pPr>
      <w:r w:rsidRPr="005203DB">
        <w:t>Previous chemotherapy or radiation therapy</w:t>
      </w:r>
    </w:p>
    <w:p w14:paraId="391B168C" w14:textId="77777777" w:rsidR="003546D2" w:rsidRPr="005203DB" w:rsidRDefault="003546D2" w:rsidP="00916CD4">
      <w:pPr>
        <w:pStyle w:val="ListParagraph"/>
        <w:numPr>
          <w:ilvl w:val="0"/>
          <w:numId w:val="41"/>
        </w:numPr>
      </w:pPr>
      <w:r w:rsidRPr="005203DB">
        <w:t>Poor nutritional status</w:t>
      </w:r>
    </w:p>
    <w:p w14:paraId="5F3CCAC1" w14:textId="77777777" w:rsidR="003546D2" w:rsidRPr="005203DB" w:rsidRDefault="003546D2" w:rsidP="00916CD4">
      <w:pPr>
        <w:pStyle w:val="ListParagraph"/>
        <w:numPr>
          <w:ilvl w:val="0"/>
          <w:numId w:val="41"/>
        </w:numPr>
      </w:pPr>
      <w:r w:rsidRPr="005203DB">
        <w:t>Poor performance status</w:t>
      </w:r>
    </w:p>
    <w:p w14:paraId="3A3B47DF" w14:textId="77777777" w:rsidR="003546D2" w:rsidRPr="005203DB" w:rsidRDefault="003546D2" w:rsidP="00916CD4">
      <w:pPr>
        <w:pStyle w:val="ListParagraph"/>
        <w:numPr>
          <w:ilvl w:val="0"/>
          <w:numId w:val="41"/>
        </w:numPr>
      </w:pPr>
      <w:r w:rsidRPr="005203DB">
        <w:t>Previous episodes of FN</w:t>
      </w:r>
    </w:p>
    <w:p w14:paraId="0F411639" w14:textId="77777777" w:rsidR="003546D2" w:rsidRPr="005203DB" w:rsidRDefault="003546D2" w:rsidP="00916CD4">
      <w:pPr>
        <w:pStyle w:val="ListParagraph"/>
        <w:numPr>
          <w:ilvl w:val="0"/>
          <w:numId w:val="41"/>
        </w:numPr>
      </w:pPr>
      <w:r w:rsidRPr="005203DB">
        <w:t xml:space="preserve">Other serious co-morbidities, including renal dysfunction, liver dysfunction, HIV infection, cardiovascular </w:t>
      </w:r>
      <w:proofErr w:type="gramStart"/>
      <w:r w:rsidRPr="005203DB">
        <w:t>disease</w:t>
      </w:r>
      <w:proofErr w:type="gramEnd"/>
    </w:p>
    <w:p w14:paraId="4EFE44E0" w14:textId="77777777" w:rsidR="003546D2" w:rsidRPr="005203DB" w:rsidRDefault="003546D2" w:rsidP="00916CD4">
      <w:pPr>
        <w:pStyle w:val="ListParagraph"/>
        <w:numPr>
          <w:ilvl w:val="0"/>
          <w:numId w:val="41"/>
        </w:numPr>
      </w:pPr>
      <w:r w:rsidRPr="005203DB">
        <w:t>Persistent neutropenia</w:t>
      </w:r>
    </w:p>
    <w:p w14:paraId="57D97C18" w14:textId="3BF45871" w:rsidR="003546D2" w:rsidRDefault="003546D2" w:rsidP="003546D2">
      <w:pPr>
        <w:pStyle w:val="BodyText"/>
      </w:pPr>
      <w:r>
        <w:t>This list is not all-inclusive.</w:t>
      </w:r>
    </w:p>
    <w:p w14:paraId="10DA4309" w14:textId="7CFB0FA6" w:rsidR="00FF66BF" w:rsidRDefault="00FF66BF" w:rsidP="00FF66BF">
      <w:pPr>
        <w:pStyle w:val="Heading2"/>
      </w:pPr>
      <w:bookmarkStart w:id="4" w:name="S2.2"/>
      <w:bookmarkStart w:id="5" w:name="section-2.2"/>
      <w:bookmarkStart w:id="6" w:name="section-2.2.1"/>
      <w:bookmarkStart w:id="7" w:name="section-2.2.2"/>
      <w:bookmarkEnd w:id="4"/>
      <w:bookmarkEnd w:id="5"/>
      <w:bookmarkEnd w:id="6"/>
      <w:bookmarkEnd w:id="7"/>
      <w:r w:rsidRPr="008D1B34">
        <w:t>References</w:t>
      </w:r>
    </w:p>
    <w:p w14:paraId="00596A7F" w14:textId="77777777" w:rsidR="005203DB" w:rsidRPr="00F47439" w:rsidRDefault="005203DB" w:rsidP="009C39AF">
      <w:pPr>
        <w:pStyle w:val="ReferenceOrdered"/>
        <w:ind w:left="360"/>
      </w:pPr>
      <w:r w:rsidRPr="00251030">
        <w:t>Neupogen</w:t>
      </w:r>
      <w:r w:rsidRPr="00F47439">
        <w:t xml:space="preserve"> [package insert]. Thousand Oaks, CA: Amgen Inc.; </w:t>
      </w:r>
      <w:r>
        <w:t>April 2023</w:t>
      </w:r>
      <w:r w:rsidRPr="00F47439">
        <w:t>.</w:t>
      </w:r>
    </w:p>
    <w:p w14:paraId="01573706" w14:textId="295DFE1B" w:rsidR="005203DB" w:rsidRPr="00F47439" w:rsidRDefault="005203DB" w:rsidP="009C39AF">
      <w:pPr>
        <w:pStyle w:val="ReferenceOrdered"/>
        <w:ind w:left="360"/>
      </w:pPr>
      <w:proofErr w:type="spellStart"/>
      <w:r w:rsidRPr="00251030">
        <w:t>Nivestym</w:t>
      </w:r>
      <w:proofErr w:type="spellEnd"/>
      <w:r w:rsidRPr="00F47439">
        <w:t xml:space="preserve"> [package insert].</w:t>
      </w:r>
      <w:r>
        <w:t xml:space="preserve"> </w:t>
      </w:r>
      <w:r w:rsidRPr="009C39AF">
        <w:t xml:space="preserve">Lake Forest, IL: Hospira Inc.; </w:t>
      </w:r>
      <w:bookmarkStart w:id="8" w:name="_Hlk168489285"/>
      <w:r w:rsidRPr="009C39AF">
        <w:t>February 2024</w:t>
      </w:r>
      <w:bookmarkEnd w:id="8"/>
      <w:r w:rsidRPr="009C39AF">
        <w:t>.</w:t>
      </w:r>
    </w:p>
    <w:p w14:paraId="09E68D18" w14:textId="15EA219C" w:rsidR="005203DB" w:rsidRPr="00F47439" w:rsidRDefault="005203DB" w:rsidP="009C39AF">
      <w:pPr>
        <w:pStyle w:val="ReferenceOrdered"/>
        <w:ind w:left="360"/>
      </w:pPr>
      <w:proofErr w:type="spellStart"/>
      <w:r w:rsidRPr="00251030">
        <w:t>Granix</w:t>
      </w:r>
      <w:proofErr w:type="spellEnd"/>
      <w:r w:rsidRPr="00F47439">
        <w:t xml:space="preserve"> [package insert]. North Wales, PA: Teva Pharmaceuticals USA, Inc.; </w:t>
      </w:r>
      <w:bookmarkStart w:id="9" w:name="_Hlk168489297"/>
      <w:r>
        <w:t>November</w:t>
      </w:r>
      <w:r w:rsidRPr="00F47439">
        <w:t xml:space="preserve"> 20</w:t>
      </w:r>
      <w:r>
        <w:t>23</w:t>
      </w:r>
      <w:bookmarkEnd w:id="9"/>
      <w:r w:rsidRPr="00F47439">
        <w:t>.</w:t>
      </w:r>
    </w:p>
    <w:p w14:paraId="6CBF7E23" w14:textId="6E2FD11B" w:rsidR="005203DB" w:rsidRPr="00F47439" w:rsidRDefault="005203DB" w:rsidP="009C39AF">
      <w:pPr>
        <w:pStyle w:val="ReferenceOrdered"/>
        <w:ind w:left="360"/>
      </w:pPr>
      <w:r w:rsidRPr="00251030">
        <w:t>Zarxio</w:t>
      </w:r>
      <w:r w:rsidRPr="00F47439">
        <w:t xml:space="preserve"> [package insert].</w:t>
      </w:r>
      <w:r>
        <w:t xml:space="preserve"> </w:t>
      </w:r>
      <w:r w:rsidRPr="00F47439">
        <w:t xml:space="preserve">Princeton, NJ: Sandoz Inc.; </w:t>
      </w:r>
      <w:bookmarkStart w:id="10" w:name="_Hlk168489310"/>
      <w:r>
        <w:t>January 2024</w:t>
      </w:r>
      <w:bookmarkEnd w:id="10"/>
      <w:r w:rsidRPr="00F47439">
        <w:t>.</w:t>
      </w:r>
    </w:p>
    <w:p w14:paraId="0956EE84" w14:textId="77777777" w:rsidR="005203DB" w:rsidRDefault="005203DB" w:rsidP="009C39AF">
      <w:pPr>
        <w:pStyle w:val="ReferenceOrdered"/>
        <w:ind w:left="360"/>
      </w:pPr>
      <w:r w:rsidRPr="00251030">
        <w:t>Releuko</w:t>
      </w:r>
      <w:r>
        <w:t xml:space="preserve"> [package insert]. Piscataway, NJ: </w:t>
      </w:r>
      <w:proofErr w:type="spellStart"/>
      <w:r>
        <w:t>Kashiv</w:t>
      </w:r>
      <w:proofErr w:type="spellEnd"/>
      <w:r>
        <w:t xml:space="preserve"> </w:t>
      </w:r>
      <w:proofErr w:type="spellStart"/>
      <w:r>
        <w:t>BioSciences</w:t>
      </w:r>
      <w:proofErr w:type="spellEnd"/>
      <w:r>
        <w:t xml:space="preserve">, LLC; </w:t>
      </w:r>
      <w:bookmarkStart w:id="11" w:name="_Hlk168489322"/>
      <w:r>
        <w:t>August 2023</w:t>
      </w:r>
      <w:bookmarkEnd w:id="11"/>
      <w:r>
        <w:t>.</w:t>
      </w:r>
    </w:p>
    <w:p w14:paraId="27C7C8C6" w14:textId="1428FE61" w:rsidR="00A4414F" w:rsidRDefault="00A4414F" w:rsidP="009C39AF">
      <w:pPr>
        <w:pStyle w:val="ReferenceOrdered"/>
        <w:ind w:left="360"/>
      </w:pPr>
      <w:proofErr w:type="spellStart"/>
      <w:r>
        <w:t>Nypozi</w:t>
      </w:r>
      <w:proofErr w:type="spellEnd"/>
      <w:r>
        <w:t xml:space="preserve"> [package insert]. San Diego, CA: </w:t>
      </w:r>
      <w:proofErr w:type="spellStart"/>
      <w:r>
        <w:t>Tanvex</w:t>
      </w:r>
      <w:proofErr w:type="spellEnd"/>
      <w:r>
        <w:t xml:space="preserve"> BioPharma USA, Inc.; June 2024.</w:t>
      </w:r>
    </w:p>
    <w:p w14:paraId="670903B6" w14:textId="35499795" w:rsidR="005203DB" w:rsidRPr="005203DB" w:rsidRDefault="005203DB" w:rsidP="009C39AF">
      <w:pPr>
        <w:pStyle w:val="ReferenceOrdered"/>
        <w:ind w:left="360"/>
      </w:pPr>
      <w:r w:rsidRPr="005203DB">
        <w:t xml:space="preserve">The NCCN Drugs &amp; Biologics Compendium® © 2024 National Comprehensive Cancer Network, Inc. Available at: </w:t>
      </w:r>
      <w:r w:rsidRPr="009C39AF">
        <w:t>https://www.nccn.org</w:t>
      </w:r>
      <w:r w:rsidRPr="005203DB">
        <w:t>. Accessed June 5, 2024.</w:t>
      </w:r>
      <w:r>
        <w:t xml:space="preserve"> </w:t>
      </w:r>
    </w:p>
    <w:p w14:paraId="5FE03B13" w14:textId="13932B1B" w:rsidR="005203DB" w:rsidRPr="005203DB" w:rsidRDefault="005203DB" w:rsidP="009C39AF">
      <w:pPr>
        <w:pStyle w:val="ReferenceOrdered"/>
        <w:ind w:left="360"/>
      </w:pPr>
      <w:r w:rsidRPr="005203DB">
        <w:t xml:space="preserve">National Comprehensive Cancer Network. NCCN Clinical Practice Guidelines in Oncology: Hematopoietic Growth Factors. Version 3.2024. </w:t>
      </w:r>
      <w:r w:rsidRPr="009C39AF">
        <w:t>https://www.nccn.org/professionals/physician_gls/pdf/growthfactors.pdf</w:t>
      </w:r>
      <w:r w:rsidRPr="005203DB">
        <w:t>. Accessed: June 5, 2024.</w:t>
      </w:r>
    </w:p>
    <w:p w14:paraId="38473F90" w14:textId="5218224E" w:rsidR="005203DB" w:rsidRPr="005203DB" w:rsidRDefault="005203DB" w:rsidP="009C39AF">
      <w:pPr>
        <w:pStyle w:val="ReferenceOrdered"/>
        <w:ind w:left="360"/>
      </w:pPr>
      <w:r w:rsidRPr="005203DB">
        <w:t xml:space="preserve">IBM Micromedex® DRUGDEX ® (electronic version). IBM Watson Health, Greenwood Village, Colorado, USA. Available at </w:t>
      </w:r>
      <w:r w:rsidRPr="009C39AF">
        <w:t>https://www.micromedexsolutions.com</w:t>
      </w:r>
      <w:r w:rsidRPr="005203DB">
        <w:t>. (Accessed: June 5, 2024).</w:t>
      </w:r>
    </w:p>
    <w:p w14:paraId="205E543A" w14:textId="02E8F2DD" w:rsidR="005203DB" w:rsidRPr="005203DB" w:rsidRDefault="005203DB" w:rsidP="009C39AF">
      <w:pPr>
        <w:pStyle w:val="ReferenceOrdered"/>
        <w:ind w:left="360"/>
      </w:pPr>
      <w:r w:rsidRPr="005203DB">
        <w:t>Lexicomp Online, AHFS DI (Adult and Pediatric) [database online]. Hudson, OH: Wolters Kluwer Clinical Drug Information, Inc.; Accessed June 5, 2024.</w:t>
      </w:r>
    </w:p>
    <w:p w14:paraId="5A2C0503" w14:textId="77777777" w:rsidR="005203DB" w:rsidRPr="00BE52B1" w:rsidRDefault="005203DB" w:rsidP="009C39AF">
      <w:pPr>
        <w:pStyle w:val="ReferenceOrdered"/>
        <w:ind w:left="360"/>
      </w:pPr>
      <w:r w:rsidRPr="009C39AF">
        <w:t xml:space="preserve">Smith TJ, </w:t>
      </w:r>
      <w:proofErr w:type="spellStart"/>
      <w:r w:rsidRPr="009C39AF">
        <w:t>Bohlke</w:t>
      </w:r>
      <w:proofErr w:type="spellEnd"/>
      <w:r w:rsidRPr="009C39AF">
        <w:t xml:space="preserve"> K, Lyman GH, et al. </w:t>
      </w:r>
      <w:r w:rsidRPr="00F47439">
        <w:t xml:space="preserve">Recommendations for the use of white blood cell growth factors: American Society of Clinical Oncology Clinical Practice Guideline Update. </w:t>
      </w:r>
      <w:r w:rsidRPr="009C39AF">
        <w:t>J Clin Oncol</w:t>
      </w:r>
      <w:r w:rsidRPr="00F47439">
        <w:t>. 2015;33(28):3199-3212.</w:t>
      </w:r>
    </w:p>
    <w:p w14:paraId="65C921AC" w14:textId="0A3C6BAD" w:rsidR="005203DB" w:rsidRPr="005203DB" w:rsidRDefault="005203DB" w:rsidP="009C39AF">
      <w:pPr>
        <w:pStyle w:val="ReferenceOrdered"/>
        <w:ind w:left="360"/>
      </w:pPr>
      <w:r w:rsidRPr="005203DB">
        <w:t xml:space="preserve">National Comprehensive Cancer Network. NCCN Clinical Practice Guidelines in Oncology: Hairy Cell Leukemia. Version 2.2024. </w:t>
      </w:r>
      <w:r w:rsidRPr="009C39AF">
        <w:t>https://www.nccn.org/professionals/physician_gls/pdf/hairy_cell.pdf</w:t>
      </w:r>
      <w:r>
        <w:t xml:space="preserve"> </w:t>
      </w:r>
      <w:r w:rsidRPr="005203DB">
        <w:t>Accessed June 5, 2024.</w:t>
      </w:r>
    </w:p>
    <w:p w14:paraId="701DBEAA" w14:textId="2D6763CB" w:rsidR="005203DB" w:rsidRPr="005203DB" w:rsidRDefault="005203DB" w:rsidP="009C39AF">
      <w:pPr>
        <w:pStyle w:val="ReferenceOrdered"/>
        <w:ind w:left="360"/>
      </w:pPr>
      <w:bookmarkStart w:id="12" w:name="_Hlk104285948"/>
      <w:r w:rsidRPr="005203DB">
        <w:lastRenderedPageBreak/>
        <w:t>National Comprehensive Cancer Network. NCCN Clinical Practice Guidelines in Oncology: Chronic Myeloid Leukemia. Version 2.2024. https://www.nccn.org/professionals/physician_gls/pdf/cml.pdf</w:t>
      </w:r>
      <w:r>
        <w:t xml:space="preserve"> </w:t>
      </w:r>
      <w:r w:rsidRPr="005203DB">
        <w:t>Accessed June 5, 2024.</w:t>
      </w:r>
    </w:p>
    <w:bookmarkEnd w:id="12"/>
    <w:p w14:paraId="40287146" w14:textId="77777777" w:rsidR="005203DB" w:rsidRPr="005203DB" w:rsidRDefault="005203DB" w:rsidP="009C39AF">
      <w:pPr>
        <w:pStyle w:val="ReferenceOrdered"/>
        <w:ind w:left="360"/>
      </w:pPr>
      <w:r w:rsidRPr="005203DB">
        <w:t xml:space="preserve">Smith TJ, </w:t>
      </w:r>
      <w:proofErr w:type="spellStart"/>
      <w:r w:rsidRPr="005203DB">
        <w:t>Khatcheressian</w:t>
      </w:r>
      <w:proofErr w:type="spellEnd"/>
      <w:r w:rsidRPr="005203DB">
        <w:t xml:space="preserve"> J, Lyman GH, et al. 2006 update of recommendations for the use of white blood cell growth factors: an evidence-based clinical practice guideline.</w:t>
      </w:r>
      <w:r w:rsidRPr="005203DB">
        <w:rPr>
          <w:rFonts w:hint="eastAsia"/>
        </w:rPr>
        <w:t> </w:t>
      </w:r>
      <w:r w:rsidRPr="009C39AF">
        <w:t>J Clin Oncol.</w:t>
      </w:r>
      <w:r w:rsidRPr="009C39AF">
        <w:rPr>
          <w:rFonts w:hint="eastAsia"/>
        </w:rPr>
        <w:t> </w:t>
      </w:r>
      <w:r w:rsidRPr="005203DB">
        <w:t>2006;24(19):3187-3205.</w:t>
      </w:r>
    </w:p>
    <w:p w14:paraId="6A8E6B76" w14:textId="77777777" w:rsidR="005203DB" w:rsidRPr="005203DB" w:rsidRDefault="005203DB" w:rsidP="009C39AF">
      <w:pPr>
        <w:pStyle w:val="ReferenceOrdered"/>
        <w:ind w:left="360"/>
      </w:pPr>
      <w:r w:rsidRPr="005203DB">
        <w:t>National Comprehensive Cancer Network. NCCN Clinical Practice Guidelines in Oncology: Gestational Trophoblastic Neoplasia. Version 1.2024. https://www.nccn.org/professionals/physician_gls/pdf/gtn.pdf Accessed June 5, 2024.</w:t>
      </w:r>
    </w:p>
    <w:p w14:paraId="74BD7052" w14:textId="77777777" w:rsidR="005203DB" w:rsidRPr="005203DB" w:rsidRDefault="005203DB" w:rsidP="009C39AF">
      <w:pPr>
        <w:pStyle w:val="ReferenceOrdered"/>
        <w:ind w:left="360"/>
      </w:pPr>
      <w:r w:rsidRPr="005203DB">
        <w:t>National Comprehensive Cancer Network. NCCN Clinical Practice Guidelines in Oncology: Wilms Tumor (Nephroblastoma). Version 1.2023. https://www.nccn.org/professionals/physician_gls/pdf/wilms_tumor.pdf Accessed June 5, 2024.</w:t>
      </w:r>
    </w:p>
    <w:p w14:paraId="47E1A10C" w14:textId="048FBBF4" w:rsidR="00C44990" w:rsidRPr="009C39AF" w:rsidRDefault="005203DB" w:rsidP="009C39AF">
      <w:pPr>
        <w:pStyle w:val="ReferenceOrdered"/>
        <w:ind w:left="360"/>
      </w:pPr>
      <w:proofErr w:type="spellStart"/>
      <w:r w:rsidRPr="009C39AF">
        <w:t>Kishnani</w:t>
      </w:r>
      <w:proofErr w:type="spellEnd"/>
      <w:r w:rsidRPr="009C39AF">
        <w:t xml:space="preserve"> PS, Austin SL, </w:t>
      </w:r>
      <w:proofErr w:type="spellStart"/>
      <w:r w:rsidRPr="009C39AF">
        <w:t>Abdenur</w:t>
      </w:r>
      <w:proofErr w:type="spellEnd"/>
      <w:r w:rsidRPr="009C39AF">
        <w:t xml:space="preserve"> JE, et al. </w:t>
      </w:r>
      <w:r w:rsidRPr="005203DB">
        <w:t>Diagnosis and management of glycogen storage disease type I: a practice guideline of the American</w:t>
      </w:r>
      <w:r w:rsidRPr="009C39AF">
        <w:t xml:space="preserve"> College of Medical Genetics and Genomics. Genet Med. 2014;16(11</w:t>
      </w:r>
      <w:proofErr w:type="gramStart"/>
      <w:r w:rsidRPr="009C39AF">
        <w:t>):e</w:t>
      </w:r>
      <w:proofErr w:type="gramEnd"/>
      <w:r w:rsidRPr="009C39AF">
        <w:t>1.</w:t>
      </w:r>
    </w:p>
    <w:sectPr w:rsidR="00C44990" w:rsidRPr="009C39AF" w:rsidSect="00AA1E6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F2F4C" w14:textId="77777777" w:rsidR="009E551A" w:rsidRDefault="009E551A">
      <w:r>
        <w:separator/>
      </w:r>
    </w:p>
  </w:endnote>
  <w:endnote w:type="continuationSeparator" w:id="0">
    <w:p w14:paraId="4D9B61BC" w14:textId="77777777" w:rsidR="009E551A" w:rsidRDefault="009E551A">
      <w:r>
        <w:continuationSeparator/>
      </w:r>
    </w:p>
  </w:endnote>
  <w:endnote w:type="continuationNotice" w:id="1">
    <w:p w14:paraId="12CFFA88" w14:textId="77777777" w:rsidR="009E551A" w:rsidRDefault="009E55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5921340D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11A1E" w:rsidRPr="009C39AF">
      <w:rPr>
        <w:rFonts w:cs="Arial"/>
        <w:noProof/>
        <w:sz w:val="16"/>
        <w:szCs w:val="16"/>
      </w:rPr>
      <w:t>Neupogen</w:t>
    </w:r>
    <w:r w:rsidR="00D11A1E">
      <w:rPr>
        <w:rFonts w:cs="Arial"/>
        <w:noProof/>
        <w:snapToGrid w:val="0"/>
        <w:color w:val="000000"/>
        <w:sz w:val="16"/>
        <w:szCs w:val="16"/>
      </w:rPr>
      <w:t xml:space="preserve"> and filgrastim</w:t>
    </w:r>
    <w:r w:rsidR="00D11A1E" w:rsidRPr="009C39AF">
      <w:rPr>
        <w:rFonts w:cs="Arial"/>
        <w:noProof/>
        <w:sz w:val="16"/>
        <w:szCs w:val="16"/>
      </w:rPr>
      <w:t xml:space="preserve"> biosimilars</w:t>
    </w:r>
    <w:r w:rsidR="00D11A1E">
      <w:rPr>
        <w:rFonts w:cs="Arial"/>
        <w:noProof/>
        <w:snapToGrid w:val="0"/>
        <w:color w:val="000000"/>
        <w:sz w:val="16"/>
        <w:szCs w:val="16"/>
      </w:rPr>
      <w:t xml:space="preserve"> SGM 1930-A 2024a_R.docx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4384CE8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</w:t>
    </w:r>
    <w:proofErr w:type="gramStart"/>
    <w:r w:rsidRPr="00EC47B6">
      <w:rPr>
        <w:rFonts w:cs="Arial"/>
        <w:snapToGrid w:val="0"/>
        <w:sz w:val="16"/>
        <w:szCs w:val="16"/>
      </w:rPr>
      <w:t>distributed</w:t>
    </w:r>
    <w:proofErr w:type="gramEnd"/>
    <w:r w:rsidRPr="00EC47B6">
      <w:rPr>
        <w:rFonts w:cs="Arial"/>
        <w:snapToGrid w:val="0"/>
        <w:sz w:val="16"/>
        <w:szCs w:val="16"/>
      </w:rPr>
      <w:t xml:space="preserve">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0CCC269" w:rsidR="00F75C81" w:rsidRPr="00AA1E6A" w:rsidRDefault="00C36B72" w:rsidP="001E34C8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EF731CF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11A1E" w:rsidRPr="009C39AF">
      <w:rPr>
        <w:rFonts w:cs="Arial"/>
        <w:noProof/>
        <w:sz w:val="16"/>
        <w:szCs w:val="16"/>
      </w:rPr>
      <w:t>Neupogen</w:t>
    </w:r>
    <w:r w:rsidR="00D11A1E">
      <w:rPr>
        <w:rFonts w:cs="Arial"/>
        <w:noProof/>
        <w:snapToGrid w:val="0"/>
        <w:color w:val="000000"/>
        <w:sz w:val="16"/>
        <w:szCs w:val="16"/>
      </w:rPr>
      <w:t xml:space="preserve"> and filgrastim</w:t>
    </w:r>
    <w:r w:rsidR="00D11A1E" w:rsidRPr="009C39AF">
      <w:rPr>
        <w:rFonts w:cs="Arial"/>
        <w:noProof/>
        <w:sz w:val="16"/>
        <w:szCs w:val="16"/>
      </w:rPr>
      <w:t xml:space="preserve"> biosimilars</w:t>
    </w:r>
    <w:r w:rsidR="00D11A1E">
      <w:rPr>
        <w:rFonts w:cs="Arial"/>
        <w:noProof/>
        <w:snapToGrid w:val="0"/>
        <w:color w:val="000000"/>
        <w:sz w:val="16"/>
        <w:szCs w:val="16"/>
      </w:rPr>
      <w:t xml:space="preserve"> SGM 1930-A 2024a_R.docx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54028842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</w:t>
    </w:r>
    <w:proofErr w:type="gramStart"/>
    <w:r w:rsidRPr="00EC47B6">
      <w:rPr>
        <w:rFonts w:cs="Arial"/>
        <w:snapToGrid w:val="0"/>
        <w:sz w:val="16"/>
        <w:szCs w:val="16"/>
      </w:rPr>
      <w:t>distributed</w:t>
    </w:r>
    <w:proofErr w:type="gramEnd"/>
    <w:r w:rsidRPr="00EC47B6">
      <w:rPr>
        <w:rFonts w:cs="Arial"/>
        <w:snapToGrid w:val="0"/>
        <w:sz w:val="16"/>
        <w:szCs w:val="16"/>
      </w:rPr>
      <w:t xml:space="preserve">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4C5E43C0" w:rsidR="00ED04EC" w:rsidRPr="00F50D98" w:rsidRDefault="00F50D98" w:rsidP="001E34C8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B0BC9" w14:textId="66103E54" w:rsidR="0027111F" w:rsidRPr="0027111F" w:rsidRDefault="0027111F" w:rsidP="002711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C1DFB" w14:textId="77777777" w:rsidR="009E551A" w:rsidRDefault="009E551A">
      <w:r>
        <w:separator/>
      </w:r>
    </w:p>
  </w:footnote>
  <w:footnote w:type="continuationSeparator" w:id="0">
    <w:p w14:paraId="48E2AD64" w14:textId="77777777" w:rsidR="009E551A" w:rsidRDefault="009E551A">
      <w:r>
        <w:continuationSeparator/>
      </w:r>
    </w:p>
  </w:footnote>
  <w:footnote w:type="continuationNotice" w:id="1">
    <w:p w14:paraId="3F4D37C6" w14:textId="77777777" w:rsidR="009E551A" w:rsidRDefault="009E55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27111F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44E6D41E" w:rsidR="00ED04EC" w:rsidRPr="004C7F1D" w:rsidRDefault="0027111F" w:rsidP="0027111F">
          <w:pPr>
            <w:pStyle w:val="RefTableData"/>
          </w:pPr>
          <w:r>
            <w:t>1930-A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27111F" w:rsidRPr="00ED04EC" w14:paraId="360C2D59" w14:textId="77777777" w:rsidTr="00946B18">
      <w:trPr>
        <w:trHeight w:val="144"/>
        <w:jc w:val="right"/>
      </w:trPr>
      <w:tc>
        <w:tcPr>
          <w:tcW w:w="1854" w:type="dxa"/>
          <w:hideMark/>
        </w:tcPr>
        <w:p w14:paraId="08FEE7B8" w14:textId="77777777" w:rsidR="0027111F" w:rsidRPr="00AA1E6A" w:rsidRDefault="0027111F" w:rsidP="0027111F">
          <w:pPr>
            <w:pStyle w:val="RefTableData"/>
          </w:pPr>
          <w:r w:rsidRPr="00AA1E6A">
            <w:t>Reference number(s)</w:t>
          </w:r>
        </w:p>
      </w:tc>
    </w:tr>
    <w:tr w:rsidR="0027111F" w:rsidRPr="00ED04EC" w14:paraId="576AE40D" w14:textId="77777777" w:rsidTr="00946B18">
      <w:trPr>
        <w:trHeight w:val="378"/>
        <w:jc w:val="right"/>
      </w:trPr>
      <w:tc>
        <w:tcPr>
          <w:tcW w:w="1854" w:type="dxa"/>
          <w:hideMark/>
        </w:tcPr>
        <w:p w14:paraId="0C348F52" w14:textId="77777777" w:rsidR="0027111F" w:rsidRPr="004C7F1D" w:rsidRDefault="0027111F" w:rsidP="0027111F">
          <w:pPr>
            <w:pStyle w:val="RefTableData"/>
          </w:pPr>
          <w:r>
            <w:t>1930-A</w:t>
          </w:r>
        </w:p>
      </w:tc>
    </w:tr>
  </w:tbl>
  <w:p w14:paraId="31AE5BA7" w14:textId="77777777" w:rsidR="0027111F" w:rsidRPr="0027111F" w:rsidRDefault="0027111F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F87237"/>
    <w:multiLevelType w:val="hybridMultilevel"/>
    <w:tmpl w:val="F9C23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5240F0"/>
    <w:multiLevelType w:val="hybridMultilevel"/>
    <w:tmpl w:val="FAECC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EC6CA3"/>
    <w:multiLevelType w:val="hybridMultilevel"/>
    <w:tmpl w:val="02108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313F0A"/>
    <w:multiLevelType w:val="hybridMultilevel"/>
    <w:tmpl w:val="1EC85F4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9D3FDB"/>
    <w:multiLevelType w:val="hybridMultilevel"/>
    <w:tmpl w:val="07464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3E47EA"/>
    <w:multiLevelType w:val="hybridMultilevel"/>
    <w:tmpl w:val="608E8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1" w15:restartNumberingAfterBreak="0">
    <w:nsid w:val="202438EC"/>
    <w:multiLevelType w:val="hybridMultilevel"/>
    <w:tmpl w:val="E3469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480BDD"/>
    <w:multiLevelType w:val="hybridMultilevel"/>
    <w:tmpl w:val="B4628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6A41E69"/>
    <w:multiLevelType w:val="hybridMultilevel"/>
    <w:tmpl w:val="BC04A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274095"/>
    <w:multiLevelType w:val="hybridMultilevel"/>
    <w:tmpl w:val="9056E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EE2FE1"/>
    <w:multiLevelType w:val="hybridMultilevel"/>
    <w:tmpl w:val="FAFAC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BD5A36"/>
    <w:multiLevelType w:val="hybridMultilevel"/>
    <w:tmpl w:val="0EFC22E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FD4F81"/>
    <w:multiLevelType w:val="hybridMultilevel"/>
    <w:tmpl w:val="9402B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5E3369"/>
    <w:multiLevelType w:val="hybridMultilevel"/>
    <w:tmpl w:val="FCF01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694DB1"/>
    <w:multiLevelType w:val="hybridMultilevel"/>
    <w:tmpl w:val="A04AB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B945DF"/>
    <w:multiLevelType w:val="hybridMultilevel"/>
    <w:tmpl w:val="82661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7E2FA2"/>
    <w:multiLevelType w:val="hybridMultilevel"/>
    <w:tmpl w:val="22AA1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611B6D"/>
    <w:multiLevelType w:val="hybridMultilevel"/>
    <w:tmpl w:val="A7526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B97A90"/>
    <w:multiLevelType w:val="hybridMultilevel"/>
    <w:tmpl w:val="65222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4D75C4"/>
    <w:multiLevelType w:val="hybridMultilevel"/>
    <w:tmpl w:val="EA42A0B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C956FF"/>
    <w:multiLevelType w:val="hybridMultilevel"/>
    <w:tmpl w:val="814A8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7"/>
  </w:num>
  <w:num w:numId="2" w16cid:durableId="606935877">
    <w:abstractNumId w:val="36"/>
  </w:num>
  <w:num w:numId="3" w16cid:durableId="611589570">
    <w:abstractNumId w:val="2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9"/>
  </w:num>
  <w:num w:numId="15" w16cid:durableId="616722934">
    <w:abstractNumId w:val="11"/>
  </w:num>
  <w:num w:numId="16" w16cid:durableId="898320195">
    <w:abstractNumId w:val="25"/>
  </w:num>
  <w:num w:numId="17" w16cid:durableId="2128498676">
    <w:abstractNumId w:val="39"/>
  </w:num>
  <w:num w:numId="18" w16cid:durableId="299724409">
    <w:abstractNumId w:val="33"/>
  </w:num>
  <w:num w:numId="19" w16cid:durableId="214585573">
    <w:abstractNumId w:val="20"/>
  </w:num>
  <w:num w:numId="20" w16cid:durableId="1066490929">
    <w:abstractNumId w:val="41"/>
  </w:num>
  <w:num w:numId="21" w16cid:durableId="1195845666">
    <w:abstractNumId w:val="34"/>
  </w:num>
  <w:num w:numId="22" w16cid:durableId="1006321437">
    <w:abstractNumId w:val="38"/>
  </w:num>
  <w:num w:numId="23" w16cid:durableId="776370227">
    <w:abstractNumId w:val="15"/>
  </w:num>
  <w:num w:numId="24" w16cid:durableId="533347561">
    <w:abstractNumId w:val="27"/>
  </w:num>
  <w:num w:numId="25" w16cid:durableId="65154347">
    <w:abstractNumId w:val="16"/>
  </w:num>
  <w:num w:numId="26" w16cid:durableId="1742098154">
    <w:abstractNumId w:val="24"/>
  </w:num>
  <w:num w:numId="27" w16cid:durableId="894699018">
    <w:abstractNumId w:val="30"/>
  </w:num>
  <w:num w:numId="28" w16cid:durableId="1709721272">
    <w:abstractNumId w:val="26"/>
  </w:num>
  <w:num w:numId="29" w16cid:durableId="805119732">
    <w:abstractNumId w:val="18"/>
  </w:num>
  <w:num w:numId="30" w16cid:durableId="1582906999">
    <w:abstractNumId w:val="21"/>
  </w:num>
  <w:num w:numId="31" w16cid:durableId="143663071">
    <w:abstractNumId w:val="35"/>
  </w:num>
  <w:num w:numId="32" w16cid:durableId="264314601">
    <w:abstractNumId w:val="40"/>
  </w:num>
  <w:num w:numId="33" w16cid:durableId="328093836">
    <w:abstractNumId w:val="32"/>
  </w:num>
  <w:num w:numId="34" w16cid:durableId="1511287162">
    <w:abstractNumId w:val="28"/>
  </w:num>
  <w:num w:numId="35" w16cid:durableId="522784918">
    <w:abstractNumId w:val="12"/>
  </w:num>
  <w:num w:numId="36" w16cid:durableId="204568161">
    <w:abstractNumId w:val="23"/>
  </w:num>
  <w:num w:numId="37" w16cid:durableId="2054228403">
    <w:abstractNumId w:val="31"/>
  </w:num>
  <w:num w:numId="38" w16cid:durableId="1571695675">
    <w:abstractNumId w:val="14"/>
  </w:num>
  <w:num w:numId="39" w16cid:durableId="1947227665">
    <w:abstractNumId w:val="13"/>
  </w:num>
  <w:num w:numId="40" w16cid:durableId="1531802992">
    <w:abstractNumId w:val="22"/>
  </w:num>
  <w:num w:numId="41" w16cid:durableId="1561793415">
    <w:abstractNumId w:val="37"/>
  </w:num>
  <w:num w:numId="42" w16cid:durableId="1026251600">
    <w:abstractNumId w:val="41"/>
  </w:num>
  <w:num w:numId="43" w16cid:durableId="529032332">
    <w:abstractNumId w:val="41"/>
  </w:num>
  <w:num w:numId="44" w16cid:durableId="1231230289">
    <w:abstractNumId w:val="10"/>
  </w:num>
  <w:num w:numId="45" w16cid:durableId="269510207">
    <w:abstractNumId w:val="36"/>
  </w:num>
  <w:num w:numId="46" w16cid:durableId="1477340239">
    <w:abstractNumId w:val="3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5D7C"/>
    <w:rsid w:val="00036079"/>
    <w:rsid w:val="00037636"/>
    <w:rsid w:val="00037A95"/>
    <w:rsid w:val="00041200"/>
    <w:rsid w:val="0004226E"/>
    <w:rsid w:val="000425B0"/>
    <w:rsid w:val="00043056"/>
    <w:rsid w:val="0004480D"/>
    <w:rsid w:val="00045F9F"/>
    <w:rsid w:val="00046499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0F7887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224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103C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6C16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97C80"/>
    <w:rsid w:val="001A0E7C"/>
    <w:rsid w:val="001A10CB"/>
    <w:rsid w:val="001A2781"/>
    <w:rsid w:val="001A2987"/>
    <w:rsid w:val="001A2B10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0DA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34C8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6545"/>
    <w:rsid w:val="00237E0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11F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6D2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0C2E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671D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74E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B68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733"/>
    <w:rsid w:val="00455C55"/>
    <w:rsid w:val="00456003"/>
    <w:rsid w:val="004564D6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1DF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918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381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3DB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159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0242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B6022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5400"/>
    <w:rsid w:val="00605A8F"/>
    <w:rsid w:val="00606DBB"/>
    <w:rsid w:val="00607620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286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31A8"/>
    <w:rsid w:val="006741F9"/>
    <w:rsid w:val="00674F4A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660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6155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27F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5637D"/>
    <w:rsid w:val="00760B2C"/>
    <w:rsid w:val="007622EA"/>
    <w:rsid w:val="00762469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2D2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2018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0EB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3B8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16CD4"/>
    <w:rsid w:val="00921162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6599"/>
    <w:rsid w:val="00937266"/>
    <w:rsid w:val="0094051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4EF3"/>
    <w:rsid w:val="0097583A"/>
    <w:rsid w:val="00975E36"/>
    <w:rsid w:val="009764B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1F9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3B75"/>
    <w:rsid w:val="009B579E"/>
    <w:rsid w:val="009B5866"/>
    <w:rsid w:val="009B5A24"/>
    <w:rsid w:val="009B6153"/>
    <w:rsid w:val="009B7708"/>
    <w:rsid w:val="009C0A23"/>
    <w:rsid w:val="009C2E32"/>
    <w:rsid w:val="009C39AF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551A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2439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6A6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14F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CEE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B7E6E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B79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165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1A8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26BF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4C41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A1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1BC5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0DD7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2D0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36F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4B1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0DEE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6F5D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5E8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908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5E16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13DE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text" w:uiPriority="99"/>
    <w:lsdException w:name="Body Text" w:qFormat="1"/>
    <w:lsdException w:name="Strong" w:uiPriority="22" w:qFormat="1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qFormat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uiPriority w:val="99"/>
    <w:rsid w:val="00D6162B"/>
  </w:style>
  <w:style w:type="character" w:customStyle="1" w:styleId="EndnoteTextChar">
    <w:name w:val="Endnote Text Char"/>
    <w:basedOn w:val="DefaultParagraphFont"/>
    <w:link w:val="EndnoteText"/>
    <w:uiPriority w:val="99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  <w:style w:type="character" w:customStyle="1" w:styleId="newtext">
    <w:name w:val="newtext"/>
    <w:basedOn w:val="DefaultParagraphFont"/>
    <w:rsid w:val="003546D2"/>
  </w:style>
  <w:style w:type="character" w:customStyle="1" w:styleId="ui-provider">
    <w:name w:val="ui-provider"/>
    <w:basedOn w:val="DefaultParagraphFont"/>
    <w:rsid w:val="00733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0B12FD-BE14-4BCA-B4EC-5CA5718162D2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2615</Words>
  <Characters>18892</Characters>
  <Application>Microsoft Office Word</Application>
  <DocSecurity>0</DocSecurity>
  <Lines>377</Lines>
  <Paragraphs>233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21274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Neupogen and filgrastim biosimilars 1930-A SGM 2024</dc:title>
  <dc:subject/>
  <dc:creator>CVS Caremark</dc:creator>
  <cp:keywords/>
  <cp:lastModifiedBy>Reynoso, Victor H</cp:lastModifiedBy>
  <cp:revision>7</cp:revision>
  <cp:lastPrinted>2018-01-09T11:01:00Z</cp:lastPrinted>
  <dcterms:created xsi:type="dcterms:W3CDTF">2025-01-03T23:02:00Z</dcterms:created>
  <dcterms:modified xsi:type="dcterms:W3CDTF">2025-01-03T23:09:00Z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2351600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